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7C752" w14:textId="1C29FB87" w:rsidR="006111B6" w:rsidRDefault="006E7348">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rPr>
      </w:pPr>
      <w:r>
        <w:rPr>
          <w:rFonts w:ascii="Arial" w:eastAsia="MS Mincho" w:hAnsi="Arial"/>
          <w:b/>
          <w:sz w:val="24"/>
          <w:szCs w:val="24"/>
          <w:lang w:val="en-US"/>
        </w:rPr>
        <w:t>3GPP TSG-RAN WG2 Meeting #129bis</w:t>
      </w:r>
      <w:r>
        <w:rPr>
          <w:rFonts w:ascii="Arial" w:eastAsia="MS Mincho" w:hAnsi="Arial"/>
          <w:b/>
          <w:sz w:val="24"/>
          <w:szCs w:val="24"/>
          <w:lang w:val="en-US"/>
        </w:rPr>
        <w:tab/>
      </w:r>
      <w:r w:rsidR="00A74DD2" w:rsidRPr="00A74DD2">
        <w:rPr>
          <w:rFonts w:ascii="Arial" w:eastAsia="MS Mincho" w:hAnsi="Arial"/>
          <w:b/>
          <w:sz w:val="24"/>
          <w:szCs w:val="24"/>
          <w:lang w:val="en-US"/>
        </w:rPr>
        <w:t>R2-2502066</w:t>
      </w:r>
    </w:p>
    <w:p w14:paraId="19D66018" w14:textId="77777777" w:rsidR="006111B6" w:rsidRDefault="006E7348">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rPr>
      </w:pPr>
      <w:r>
        <w:rPr>
          <w:rFonts w:ascii="Arial" w:eastAsia="MS Mincho" w:hAnsi="Arial"/>
          <w:b/>
          <w:sz w:val="24"/>
          <w:szCs w:val="24"/>
          <w:lang w:val="en-US"/>
        </w:rPr>
        <w:t>Wuhan, China, Apr. 7</w:t>
      </w:r>
      <w:r>
        <w:rPr>
          <w:rFonts w:ascii="Arial" w:eastAsia="MS Mincho" w:hAnsi="Arial"/>
          <w:b/>
          <w:sz w:val="24"/>
          <w:szCs w:val="24"/>
          <w:vertAlign w:val="superscript"/>
          <w:lang w:val="en-US"/>
        </w:rPr>
        <w:t>th</w:t>
      </w:r>
      <w:r>
        <w:rPr>
          <w:rFonts w:ascii="Arial" w:eastAsia="MS Mincho" w:hAnsi="Arial"/>
          <w:b/>
          <w:sz w:val="24"/>
          <w:szCs w:val="24"/>
          <w:lang w:val="en-US"/>
        </w:rPr>
        <w:t xml:space="preserve"> – 11</w:t>
      </w:r>
      <w:r>
        <w:rPr>
          <w:rFonts w:ascii="Arial" w:eastAsia="MS Mincho" w:hAnsi="Arial"/>
          <w:b/>
          <w:sz w:val="24"/>
          <w:szCs w:val="24"/>
          <w:vertAlign w:val="superscript"/>
          <w:lang w:val="en-US"/>
        </w:rPr>
        <w:t>th</w:t>
      </w:r>
      <w:r>
        <w:rPr>
          <w:rFonts w:ascii="Arial" w:eastAsia="MS Mincho" w:hAnsi="Arial"/>
          <w:b/>
          <w:sz w:val="24"/>
          <w:szCs w:val="24"/>
          <w:lang w:val="en-US"/>
        </w:rPr>
        <w:t>, 2025</w:t>
      </w:r>
    </w:p>
    <w:p w14:paraId="50314140" w14:textId="77777777"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t xml:space="preserve">    </w:t>
      </w:r>
    </w:p>
    <w:p w14:paraId="0CA10780" w14:textId="77777777" w:rsidR="006111B6" w:rsidRDefault="006111B6">
      <w:pPr>
        <w:tabs>
          <w:tab w:val="left" w:pos="1979"/>
        </w:tabs>
        <w:spacing w:after="0" w:line="240" w:lineRule="auto"/>
        <w:jc w:val="left"/>
        <w:rPr>
          <w:rFonts w:ascii="Arial" w:hAnsi="Arial" w:cs="Arial"/>
          <w:b/>
          <w:bCs/>
          <w:sz w:val="24"/>
          <w:lang w:val="en-US" w:eastAsia="en-US"/>
        </w:rPr>
      </w:pPr>
    </w:p>
    <w:p w14:paraId="18A96569" w14:textId="77777777" w:rsidR="006111B6" w:rsidRDefault="006E7348">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t>Xiaomi</w:t>
      </w:r>
    </w:p>
    <w:p w14:paraId="35A4318E" w14:textId="77777777"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rPr>
        <w:t>Discussion on inter-CU LTM</w:t>
      </w:r>
    </w:p>
    <w:p w14:paraId="770DE834" w14:textId="77777777"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Agenda Item:</w:t>
      </w:r>
      <w:r>
        <w:rPr>
          <w:rFonts w:ascii="Arial" w:hAnsi="Arial" w:cs="Arial"/>
          <w:b/>
          <w:bCs/>
          <w:lang w:val="en-US" w:eastAsia="en-US"/>
        </w:rPr>
        <w:tab/>
        <w:t>8.6.2</w:t>
      </w:r>
    </w:p>
    <w:p w14:paraId="6B920800" w14:textId="77777777"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5C49E49B" w14:textId="77777777" w:rsidR="006111B6" w:rsidRDefault="006E7348">
      <w:pPr>
        <w:pStyle w:val="1"/>
        <w:pBdr>
          <w:top w:val="single" w:sz="12" w:space="1" w:color="auto"/>
        </w:pBdr>
        <w:jc w:val="left"/>
      </w:pPr>
      <w:bookmarkStart w:id="0" w:name="_Ref165266342"/>
      <w:r>
        <w:t>Introduction</w:t>
      </w:r>
      <w:bookmarkEnd w:id="0"/>
    </w:p>
    <w:p w14:paraId="19D3EAD9" w14:textId="77777777" w:rsidR="006111B6" w:rsidRDefault="006E7348">
      <w:pPr>
        <w:rPr>
          <w:sz w:val="20"/>
        </w:rPr>
      </w:pPr>
      <w:r>
        <w:rPr>
          <w:sz w:val="20"/>
        </w:rPr>
        <w:t xml:space="preserve">A Revised WID on NR mobility enhancements Phase 4 [1] has been approved. In the WID, one of the objectives is to </w:t>
      </w:r>
      <w:r>
        <w:rPr>
          <w:bCs/>
          <w:sz w:val="20"/>
          <w:lang w:val="en-US"/>
        </w:rPr>
        <w:t xml:space="preserve">specify </w:t>
      </w:r>
      <w:r>
        <w:rPr>
          <w:rFonts w:eastAsia="等线"/>
          <w:bCs/>
          <w:sz w:val="20"/>
          <w:lang w:eastAsia="en-GB"/>
        </w:rPr>
        <w:t>support for inter-CU Layer1/Layer 2 Triggered Mobility (LTM)</w:t>
      </w:r>
      <w:r>
        <w:rPr>
          <w:sz w:val="20"/>
        </w:rPr>
        <w:t>, as shown below.</w:t>
      </w:r>
    </w:p>
    <w:tbl>
      <w:tblPr>
        <w:tblStyle w:val="af3"/>
        <w:tblW w:w="9629" w:type="dxa"/>
        <w:tblLayout w:type="fixed"/>
        <w:tblLook w:val="04A0" w:firstRow="1" w:lastRow="0" w:firstColumn="1" w:lastColumn="0" w:noHBand="0" w:noVBand="1"/>
      </w:tblPr>
      <w:tblGrid>
        <w:gridCol w:w="9629"/>
      </w:tblGrid>
      <w:tr w:rsidR="006111B6" w14:paraId="6F5A660B" w14:textId="77777777">
        <w:tc>
          <w:tcPr>
            <w:tcW w:w="9629" w:type="dxa"/>
          </w:tcPr>
          <w:p w14:paraId="71E546D1" w14:textId="77777777" w:rsidR="006111B6" w:rsidRDefault="006E7348">
            <w:pPr>
              <w:numPr>
                <w:ilvl w:val="0"/>
                <w:numId w:val="6"/>
              </w:numPr>
              <w:spacing w:after="0" w:line="240" w:lineRule="auto"/>
              <w:jc w:val="left"/>
              <w:rPr>
                <w:rFonts w:eastAsia="等线"/>
                <w:bCs/>
                <w:sz w:val="20"/>
                <w:lang w:eastAsia="en-GB"/>
              </w:rPr>
            </w:pPr>
            <w:r>
              <w:rPr>
                <w:rFonts w:eastAsia="等线"/>
                <w:bCs/>
                <w:sz w:val="20"/>
                <w:lang w:eastAsia="en-GB"/>
              </w:rPr>
              <w:t>Specify support for inter-CU Layer1/Layer 2 Triggered Mobility (LTM) [RAN2, RAN3]</w:t>
            </w:r>
          </w:p>
          <w:p w14:paraId="03DAC4C7" w14:textId="77777777" w:rsidR="006111B6" w:rsidRDefault="006E7348">
            <w:pPr>
              <w:numPr>
                <w:ilvl w:val="1"/>
                <w:numId w:val="6"/>
              </w:numPr>
              <w:spacing w:after="0" w:line="240" w:lineRule="auto"/>
              <w:jc w:val="left"/>
              <w:rPr>
                <w:rFonts w:eastAsia="等线"/>
                <w:bCs/>
                <w:sz w:val="20"/>
                <w:lang w:eastAsia="en-GB"/>
              </w:rPr>
            </w:pPr>
            <w:r>
              <w:rPr>
                <w:rFonts w:eastAsia="等线"/>
                <w:bCs/>
                <w:sz w:val="20"/>
                <w:lang w:eastAsia="en-GB"/>
              </w:rPr>
              <w:t>Prioritize the case when CU is acting as MN when DC is not configured</w:t>
            </w:r>
          </w:p>
          <w:p w14:paraId="7ABBBBB7" w14:textId="77777777" w:rsidR="006111B6" w:rsidRDefault="006E7348">
            <w:pPr>
              <w:numPr>
                <w:ilvl w:val="1"/>
                <w:numId w:val="6"/>
              </w:numPr>
              <w:spacing w:after="0" w:line="240" w:lineRule="auto"/>
              <w:jc w:val="left"/>
              <w:rPr>
                <w:rFonts w:eastAsia="等线"/>
                <w:bCs/>
                <w:sz w:val="20"/>
                <w:lang w:eastAsia="en-GB"/>
              </w:rPr>
            </w:pPr>
            <w:r>
              <w:rPr>
                <w:rFonts w:eastAsia="等线"/>
                <w:bCs/>
                <w:sz w:val="20"/>
                <w:lang w:eastAsia="en-GB"/>
              </w:rPr>
              <w:t>When DC is configured, inter-CU LTM can be configured either in MN or in SN but not both at the same time. For such cases:</w:t>
            </w:r>
          </w:p>
          <w:p w14:paraId="0F1D48E1" w14:textId="77777777" w:rsidR="006111B6" w:rsidRDefault="006E7348">
            <w:pPr>
              <w:numPr>
                <w:ilvl w:val="2"/>
                <w:numId w:val="6"/>
              </w:numPr>
              <w:spacing w:after="0" w:line="240" w:lineRule="auto"/>
              <w:jc w:val="left"/>
              <w:rPr>
                <w:rFonts w:eastAsia="等线"/>
                <w:bCs/>
                <w:sz w:val="20"/>
                <w:lang w:eastAsia="en-GB"/>
              </w:rPr>
            </w:pPr>
            <w:r>
              <w:rPr>
                <w:rFonts w:eastAsia="等线"/>
                <w:bCs/>
                <w:sz w:val="20"/>
                <w:lang w:eastAsia="en-GB"/>
              </w:rPr>
              <w:t>As secondary priority, support the case where CU is acting as SN and MN is unchanged</w:t>
            </w:r>
          </w:p>
          <w:p w14:paraId="71819AB4" w14:textId="77777777" w:rsidR="006111B6" w:rsidRDefault="006E7348">
            <w:pPr>
              <w:numPr>
                <w:ilvl w:val="2"/>
                <w:numId w:val="6"/>
              </w:numPr>
              <w:spacing w:after="0" w:line="240" w:lineRule="auto"/>
              <w:jc w:val="left"/>
              <w:rPr>
                <w:rFonts w:eastAsia="等线"/>
                <w:bCs/>
                <w:sz w:val="20"/>
                <w:lang w:eastAsia="en-GB"/>
              </w:rPr>
            </w:pPr>
            <w:r>
              <w:rPr>
                <w:rFonts w:eastAsia="等线"/>
                <w:bCs/>
                <w:sz w:val="20"/>
                <w:lang w:eastAsia="en-GB"/>
              </w:rPr>
              <w:t>As secondary priority, support the case where CU is acting as MN and SN is unchanged or SN is released</w:t>
            </w:r>
          </w:p>
          <w:p w14:paraId="1418E9B9" w14:textId="77777777" w:rsidR="006111B6" w:rsidRDefault="006E7348">
            <w:pPr>
              <w:numPr>
                <w:ilvl w:val="1"/>
                <w:numId w:val="6"/>
              </w:numPr>
              <w:spacing w:after="0" w:line="240" w:lineRule="auto"/>
              <w:jc w:val="left"/>
              <w:rPr>
                <w:rFonts w:eastAsia="等线"/>
                <w:bCs/>
                <w:sz w:val="20"/>
                <w:lang w:eastAsia="en-GB"/>
              </w:rPr>
            </w:pPr>
            <w:r>
              <w:rPr>
                <w:rFonts w:eastAsia="等线"/>
                <w:bCs/>
                <w:sz w:val="20"/>
                <w:lang w:eastAsia="en-GB"/>
              </w:rPr>
              <w:t>Specify support for subsequent LTM mobility procedures aiming to avoid RRC configuration between cell switches as per Rel-18 LTM</w:t>
            </w:r>
          </w:p>
          <w:p w14:paraId="1ACB1B47" w14:textId="77777777" w:rsidR="006111B6" w:rsidRDefault="006E7348">
            <w:pPr>
              <w:numPr>
                <w:ilvl w:val="2"/>
                <w:numId w:val="6"/>
              </w:numPr>
              <w:spacing w:after="0" w:line="240" w:lineRule="auto"/>
              <w:jc w:val="left"/>
              <w:rPr>
                <w:rFonts w:eastAsia="等线"/>
                <w:bCs/>
                <w:sz w:val="20"/>
                <w:lang w:eastAsia="en-GB"/>
              </w:rPr>
            </w:pPr>
            <w:r>
              <w:rPr>
                <w:rFonts w:eastAsia="等线"/>
                <w:bCs/>
                <w:sz w:val="20"/>
                <w:lang w:eastAsia="en-GB"/>
              </w:rPr>
              <w:t xml:space="preserve">Coordination with SA3 needed with respect to security key handling </w:t>
            </w:r>
          </w:p>
          <w:p w14:paraId="7CE227B0" w14:textId="77777777" w:rsidR="006111B6" w:rsidRDefault="006E7348">
            <w:pPr>
              <w:numPr>
                <w:ilvl w:val="1"/>
                <w:numId w:val="6"/>
              </w:numPr>
              <w:spacing w:after="0" w:line="240" w:lineRule="auto"/>
              <w:jc w:val="left"/>
              <w:rPr>
                <w:rFonts w:eastAsia="等线"/>
                <w:bCs/>
                <w:sz w:val="20"/>
                <w:lang w:eastAsia="en-GB"/>
              </w:rPr>
            </w:pPr>
            <w:r>
              <w:rPr>
                <w:rFonts w:eastAsia="等线"/>
                <w:bCs/>
                <w:sz w:val="20"/>
                <w:lang w:eastAsia="en-GB"/>
              </w:rPr>
              <w:t>Note: Rel. 18 intra-CU LTM procedure is considered as baseline for adding inter-CU support</w:t>
            </w:r>
          </w:p>
          <w:p w14:paraId="0B199449" w14:textId="77777777" w:rsidR="006111B6" w:rsidRDefault="006111B6">
            <w:pPr>
              <w:spacing w:after="0"/>
              <w:ind w:left="720"/>
              <w:rPr>
                <w:bCs/>
                <w:i/>
                <w:lang w:val="en-US"/>
              </w:rPr>
            </w:pPr>
          </w:p>
        </w:tc>
      </w:tr>
    </w:tbl>
    <w:p w14:paraId="7A09B6AB" w14:textId="77777777" w:rsidR="006111B6" w:rsidRDefault="006E7348">
      <w:pPr>
        <w:rPr>
          <w:sz w:val="20"/>
        </w:rPr>
      </w:pPr>
      <w:r>
        <w:rPr>
          <w:sz w:val="20"/>
        </w:rPr>
        <w:t>In this contribution, we provide our understandings on</w:t>
      </w:r>
      <w:r>
        <w:rPr>
          <w:bCs/>
          <w:sz w:val="20"/>
          <w:lang w:val="en-US"/>
        </w:rPr>
        <w:t xml:space="preserve"> inter-CU LTM</w:t>
      </w:r>
      <w:r>
        <w:rPr>
          <w:sz w:val="20"/>
        </w:rPr>
        <w:t xml:space="preserve">. </w:t>
      </w:r>
    </w:p>
    <w:p w14:paraId="799D5661" w14:textId="01A105C8" w:rsidR="006111B6" w:rsidRPr="007439E2" w:rsidRDefault="006E7348" w:rsidP="007439E2">
      <w:pPr>
        <w:pStyle w:val="1"/>
        <w:jc w:val="left"/>
      </w:pPr>
      <w:r>
        <w:rPr>
          <w:rFonts w:hint="eastAsia"/>
        </w:rPr>
        <w:t>Discussion</w:t>
      </w:r>
    </w:p>
    <w:p w14:paraId="2407CF29" w14:textId="77777777" w:rsidR="006111B6" w:rsidRDefault="006E7348">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bookmarkStart w:id="1" w:name="_Hlk188561051"/>
      <w:r>
        <w:rPr>
          <w:rFonts w:ascii="Arial" w:hAnsi="Arial"/>
          <w:sz w:val="32"/>
          <w:szCs w:val="32"/>
        </w:rPr>
        <w:t xml:space="preserve">Security </w:t>
      </w:r>
      <w:r>
        <w:rPr>
          <w:rFonts w:ascii="Arial" w:hAnsi="Arial" w:hint="eastAsia"/>
          <w:sz w:val="32"/>
          <w:szCs w:val="32"/>
        </w:rPr>
        <w:t>issues</w:t>
      </w:r>
      <w:bookmarkEnd w:id="1"/>
      <w:r>
        <w:rPr>
          <w:rFonts w:ascii="Arial" w:hAnsi="Arial"/>
          <w:sz w:val="32"/>
          <w:szCs w:val="32"/>
        </w:rPr>
        <w:t xml:space="preserve"> for MCG LTM</w:t>
      </w:r>
    </w:p>
    <w:p w14:paraId="5AA31E8D" w14:textId="15718613" w:rsidR="006111B6" w:rsidRDefault="006E7348">
      <w:pPr>
        <w:rPr>
          <w:bCs/>
          <w:sz w:val="20"/>
        </w:rPr>
      </w:pPr>
      <w:r>
        <w:rPr>
          <w:rFonts w:hint="eastAsia"/>
          <w:bCs/>
          <w:sz w:val="20"/>
          <w:szCs w:val="16"/>
        </w:rPr>
        <w:t>T</w:t>
      </w:r>
      <w:r>
        <w:rPr>
          <w:bCs/>
          <w:sz w:val="20"/>
          <w:szCs w:val="16"/>
        </w:rPr>
        <w:t xml:space="preserve">o support subsequent LTM for the inter-CU LTM, how to handle the security key upon cell switch needs to be discussed, as </w:t>
      </w:r>
      <w:r>
        <w:rPr>
          <w:rFonts w:hint="eastAsia"/>
          <w:bCs/>
          <w:sz w:val="20"/>
          <w:szCs w:val="16"/>
        </w:rPr>
        <w:t>captured</w:t>
      </w:r>
      <w:r>
        <w:rPr>
          <w:bCs/>
          <w:sz w:val="20"/>
          <w:szCs w:val="16"/>
        </w:rPr>
        <w:t xml:space="preserve"> in the WID [1]. </w:t>
      </w:r>
      <w:r>
        <w:rPr>
          <w:bCs/>
          <w:sz w:val="20"/>
        </w:rPr>
        <w:t xml:space="preserve">In the previous meeting, </w:t>
      </w:r>
      <w:bookmarkStart w:id="2" w:name="OLE_LINK1"/>
      <w:r>
        <w:rPr>
          <w:bCs/>
          <w:sz w:val="20"/>
        </w:rPr>
        <w:t xml:space="preserve">RAN2 has sent an LS </w:t>
      </w:r>
      <w:r>
        <w:rPr>
          <w:rFonts w:hint="eastAsia"/>
          <w:bCs/>
          <w:sz w:val="20"/>
        </w:rPr>
        <w:t>[</w:t>
      </w:r>
      <w:r>
        <w:rPr>
          <w:bCs/>
          <w:sz w:val="20"/>
        </w:rPr>
        <w:t xml:space="preserve">2] to SA3, including many potential solutions </w:t>
      </w:r>
      <w:r>
        <w:rPr>
          <w:rFonts w:hint="eastAsia"/>
          <w:bCs/>
          <w:sz w:val="20"/>
        </w:rPr>
        <w:t>as</w:t>
      </w:r>
      <w:r>
        <w:rPr>
          <w:bCs/>
          <w:sz w:val="20"/>
        </w:rPr>
        <w:t xml:space="preserve"> </w:t>
      </w:r>
      <w:r>
        <w:rPr>
          <w:rFonts w:hint="eastAsia"/>
          <w:bCs/>
          <w:sz w:val="20"/>
        </w:rPr>
        <w:t>follows</w:t>
      </w:r>
      <w:r>
        <w:rPr>
          <w:bCs/>
          <w:sz w:val="20"/>
        </w:rPr>
        <w:t>: Option 1 to Option 4, and se</w:t>
      </w:r>
      <w:bookmarkEnd w:id="2"/>
      <w:r>
        <w:rPr>
          <w:bCs/>
          <w:sz w:val="20"/>
        </w:rPr>
        <w:t>n</w:t>
      </w:r>
      <w:r w:rsidR="00A74DD2">
        <w:rPr>
          <w:rFonts w:hint="eastAsia"/>
          <w:bCs/>
          <w:sz w:val="20"/>
        </w:rPr>
        <w:t>t</w:t>
      </w:r>
      <w:r>
        <w:rPr>
          <w:bCs/>
          <w:sz w:val="20"/>
        </w:rPr>
        <w:t xml:space="preserve"> an LS [3] to SA3, to declare RAN2 thinks avoiding RRC configuration between cell switches for subsequent inter-CU LTM is important and it needs to be respected in solution selection.</w:t>
      </w:r>
    </w:p>
    <w:tbl>
      <w:tblPr>
        <w:tblStyle w:val="110"/>
        <w:tblW w:w="9629" w:type="dxa"/>
        <w:tblLayout w:type="fixed"/>
        <w:tblLook w:val="04A0" w:firstRow="1" w:lastRow="0" w:firstColumn="1" w:lastColumn="0" w:noHBand="0" w:noVBand="1"/>
      </w:tblPr>
      <w:tblGrid>
        <w:gridCol w:w="9629"/>
      </w:tblGrid>
      <w:tr w:rsidR="006111B6" w14:paraId="069F5121" w14:textId="77777777">
        <w:tc>
          <w:tcPr>
            <w:tcW w:w="9629" w:type="dxa"/>
          </w:tcPr>
          <w:p w14:paraId="3ED7EC14" w14:textId="77777777" w:rsidR="006111B6" w:rsidRDefault="006E7348">
            <w:pPr>
              <w:tabs>
                <w:tab w:val="left" w:pos="1622"/>
              </w:tabs>
              <w:overflowPunct/>
              <w:autoSpaceDE/>
              <w:autoSpaceDN/>
              <w:adjustRightInd/>
              <w:spacing w:after="0" w:line="240" w:lineRule="auto"/>
              <w:ind w:left="270"/>
              <w:jc w:val="left"/>
              <w:textAlignment w:val="auto"/>
              <w:rPr>
                <w:rFonts w:ascii="Arial" w:eastAsia="MS Mincho" w:hAnsi="Arial"/>
                <w:sz w:val="20"/>
                <w:lang w:eastAsia="en-GB"/>
              </w:rPr>
            </w:pPr>
            <w:r>
              <w:rPr>
                <w:rFonts w:ascii="Arial" w:eastAsia="MS Mincho" w:hAnsi="Arial" w:hint="eastAsia"/>
                <w:b/>
                <w:bCs/>
                <w:sz w:val="20"/>
                <w:lang w:eastAsia="en-GB"/>
              </w:rPr>
              <w:t xml:space="preserve">Option </w:t>
            </w:r>
            <w:r>
              <w:rPr>
                <w:rFonts w:ascii="Arial" w:eastAsia="MS Mincho" w:hAnsi="Arial"/>
                <w:b/>
                <w:bCs/>
                <w:sz w:val="20"/>
                <w:lang w:eastAsia="en-GB"/>
              </w:rPr>
              <w:t>1:</w:t>
            </w:r>
            <w:r>
              <w:rPr>
                <w:rFonts w:ascii="Arial" w:eastAsia="MS Mincho" w:hAnsi="Arial"/>
                <w:sz w:val="20"/>
                <w:lang w:eastAsia="en-GB"/>
              </w:rPr>
              <w:t xml:space="preserve"> Use a new information in MAC CE to deliver the security information. Whether the UE uses horizontal or vertical key derivation is derived from this new information in MAC CE (which is currently, </w:t>
            </w:r>
            <w:r>
              <w:rPr>
                <w:rFonts w:ascii="Arial" w:eastAsia="MS Mincho" w:hAnsi="Arial"/>
                <w:sz w:val="20"/>
                <w:lang w:val="en-US" w:eastAsia="en-GB"/>
              </w:rPr>
              <w:t>neither integrity protected nor ciphered</w:t>
            </w:r>
            <w:r>
              <w:rPr>
                <w:rFonts w:ascii="Arial" w:eastAsia="MS Mincho" w:hAnsi="Arial"/>
                <w:sz w:val="20"/>
                <w:lang w:eastAsia="en-GB"/>
              </w:rPr>
              <w:t>).</w:t>
            </w:r>
          </w:p>
          <w:p w14:paraId="7C888178" w14:textId="77777777" w:rsidR="006111B6" w:rsidRDefault="006E7348">
            <w:pPr>
              <w:tabs>
                <w:tab w:val="left" w:pos="1622"/>
              </w:tabs>
              <w:overflowPunct/>
              <w:autoSpaceDE/>
              <w:autoSpaceDN/>
              <w:adjustRightInd/>
              <w:spacing w:after="0" w:line="240" w:lineRule="auto"/>
              <w:ind w:left="540" w:hanging="363"/>
              <w:jc w:val="left"/>
              <w:textAlignment w:val="auto"/>
              <w:rPr>
                <w:rFonts w:ascii="Arial" w:eastAsia="MS Mincho" w:hAnsi="Arial"/>
                <w:sz w:val="20"/>
                <w:lang w:eastAsia="en-GB"/>
              </w:rPr>
            </w:pPr>
            <w:r>
              <w:rPr>
                <w:rFonts w:ascii="Arial" w:eastAsia="MS Mincho" w:hAnsi="Arial"/>
                <w:sz w:val="20"/>
                <w:lang w:eastAsia="en-GB"/>
              </w:rPr>
              <w:tab/>
            </w:r>
            <w:r>
              <w:rPr>
                <w:rFonts w:ascii="Arial" w:eastAsia="MS Mincho" w:hAnsi="Arial"/>
                <w:b/>
                <w:bCs/>
                <w:sz w:val="20"/>
                <w:highlight w:val="yellow"/>
                <w:lang w:eastAsia="en-GB"/>
              </w:rPr>
              <w:t>Option 1A:</w:t>
            </w:r>
            <w:r>
              <w:rPr>
                <w:rFonts w:ascii="Arial" w:eastAsia="MS Mincho" w:hAnsi="Arial"/>
                <w:sz w:val="20"/>
                <w:highlight w:val="yellow"/>
                <w:lang w:eastAsia="en-GB"/>
              </w:rPr>
              <w:t xml:space="preserve"> </w:t>
            </w:r>
            <w:r>
              <w:rPr>
                <w:rFonts w:ascii="Arial" w:eastAsia="MS Mincho" w:hAnsi="Arial" w:hint="eastAsia"/>
                <w:sz w:val="20"/>
                <w:highlight w:val="yellow"/>
                <w:lang w:eastAsia="en-GB"/>
              </w:rPr>
              <w:t xml:space="preserve"> </w:t>
            </w:r>
            <w:r>
              <w:rPr>
                <w:rFonts w:ascii="Arial" w:eastAsia="MS Mincho" w:hAnsi="Arial"/>
                <w:sz w:val="20"/>
                <w:highlight w:val="yellow"/>
                <w:lang w:eastAsia="en-GB"/>
              </w:rPr>
              <w:t xml:space="preserve">the </w:t>
            </w:r>
            <w:r>
              <w:rPr>
                <w:rFonts w:ascii="Arial" w:eastAsia="MS Mincho" w:hAnsi="Arial" w:hint="eastAsia"/>
                <w:sz w:val="20"/>
                <w:highlight w:val="yellow"/>
                <w:lang w:eastAsia="en-GB"/>
              </w:rPr>
              <w:t xml:space="preserve">NCC value to </w:t>
            </w:r>
            <w:r>
              <w:rPr>
                <w:rFonts w:ascii="Arial" w:eastAsia="MS Mincho" w:hAnsi="Arial"/>
                <w:sz w:val="20"/>
                <w:highlight w:val="yellow"/>
                <w:lang w:eastAsia="en-GB"/>
              </w:rPr>
              <w:t xml:space="preserve">be </w:t>
            </w:r>
            <w:r>
              <w:rPr>
                <w:rFonts w:ascii="Arial" w:eastAsia="MS Mincho" w:hAnsi="Arial" w:hint="eastAsia"/>
                <w:sz w:val="20"/>
                <w:highlight w:val="yellow"/>
                <w:lang w:eastAsia="en-GB"/>
              </w:rPr>
              <w:t>use</w:t>
            </w:r>
            <w:r>
              <w:rPr>
                <w:rFonts w:ascii="Arial" w:eastAsia="MS Mincho" w:hAnsi="Arial"/>
                <w:sz w:val="20"/>
                <w:highlight w:val="yellow"/>
                <w:lang w:eastAsia="en-GB"/>
              </w:rPr>
              <w:t>d</w:t>
            </w:r>
            <w:r>
              <w:rPr>
                <w:rFonts w:ascii="Arial" w:eastAsia="MS Mincho" w:hAnsi="Arial" w:hint="eastAsia"/>
                <w:sz w:val="20"/>
                <w:highlight w:val="yellow"/>
                <w:lang w:eastAsia="en-GB"/>
              </w:rPr>
              <w:t xml:space="preserve"> </w:t>
            </w:r>
            <w:r>
              <w:rPr>
                <w:rFonts w:ascii="Arial" w:eastAsia="MS Mincho" w:hAnsi="Arial"/>
                <w:sz w:val="20"/>
                <w:highlight w:val="yellow"/>
                <w:lang w:eastAsia="en-GB"/>
              </w:rPr>
              <w:t>at i</w:t>
            </w:r>
            <w:r>
              <w:rPr>
                <w:rFonts w:ascii="Arial" w:eastAsia="MS Mincho" w:hAnsi="Arial" w:hint="eastAsia"/>
                <w:sz w:val="20"/>
                <w:highlight w:val="yellow"/>
                <w:lang w:eastAsia="en-GB"/>
              </w:rPr>
              <w:t xml:space="preserve">nter-CU LTM execution is included </w:t>
            </w:r>
            <w:r>
              <w:rPr>
                <w:rFonts w:ascii="Arial" w:eastAsia="MS Mincho" w:hAnsi="Arial"/>
                <w:sz w:val="20"/>
                <w:highlight w:val="yellow"/>
                <w:lang w:eastAsia="en-GB"/>
              </w:rPr>
              <w:t>in the LTM cell switch command MAC CE.</w:t>
            </w:r>
          </w:p>
          <w:p w14:paraId="1BDBE05E" w14:textId="77777777" w:rsidR="006111B6" w:rsidRDefault="006E7348">
            <w:pPr>
              <w:tabs>
                <w:tab w:val="left" w:pos="1622"/>
              </w:tabs>
              <w:overflowPunct/>
              <w:autoSpaceDE/>
              <w:autoSpaceDN/>
              <w:adjustRightInd/>
              <w:spacing w:after="0" w:line="240" w:lineRule="auto"/>
              <w:ind w:left="540" w:hanging="363"/>
              <w:jc w:val="left"/>
              <w:textAlignment w:val="auto"/>
              <w:rPr>
                <w:rFonts w:ascii="Arial" w:eastAsia="MS Mincho" w:hAnsi="Arial"/>
                <w:sz w:val="20"/>
                <w:lang w:eastAsia="en-GB"/>
              </w:rPr>
            </w:pPr>
            <w:r>
              <w:rPr>
                <w:rFonts w:ascii="Arial" w:eastAsia="MS Mincho" w:hAnsi="Arial"/>
                <w:sz w:val="20"/>
                <w:lang w:eastAsia="en-GB"/>
              </w:rPr>
              <w:tab/>
            </w:r>
            <w:r>
              <w:rPr>
                <w:rFonts w:ascii="Arial" w:eastAsia="MS Mincho" w:hAnsi="Arial"/>
                <w:b/>
                <w:bCs/>
                <w:sz w:val="20"/>
                <w:lang w:eastAsia="en-GB"/>
              </w:rPr>
              <w:t>Option 1B:</w:t>
            </w:r>
            <w:r>
              <w:rPr>
                <w:rFonts w:ascii="Arial" w:eastAsia="MS Mincho" w:hAnsi="Arial"/>
                <w:sz w:val="20"/>
                <w:lang w:eastAsia="en-GB"/>
              </w:rPr>
              <w:t xml:space="preserve"> </w:t>
            </w:r>
            <w:r>
              <w:rPr>
                <w:rFonts w:ascii="Arial" w:eastAsia="MS Mincho" w:hAnsi="Arial" w:hint="eastAsia"/>
                <w:sz w:val="20"/>
                <w:lang w:eastAsia="en-GB"/>
              </w:rPr>
              <w:t xml:space="preserve"> </w:t>
            </w:r>
            <w:r>
              <w:rPr>
                <w:rFonts w:ascii="Arial" w:eastAsia="MS Mincho" w:hAnsi="Arial"/>
                <w:sz w:val="20"/>
                <w:lang w:eastAsia="en-GB"/>
              </w:rPr>
              <w:t xml:space="preserve">the </w:t>
            </w:r>
            <w:r>
              <w:rPr>
                <w:rFonts w:ascii="Arial" w:eastAsia="MS Mincho" w:hAnsi="Arial" w:hint="eastAsia"/>
                <w:sz w:val="20"/>
                <w:lang w:eastAsia="en-GB"/>
              </w:rPr>
              <w:t xml:space="preserve">UE is preconfigured with a </w:t>
            </w:r>
            <w:r>
              <w:rPr>
                <w:rFonts w:ascii="Arial" w:eastAsia="MS Mincho" w:hAnsi="Arial"/>
                <w:sz w:val="20"/>
                <w:lang w:eastAsia="en-GB"/>
              </w:rPr>
              <w:t xml:space="preserve">list of </w:t>
            </w:r>
            <w:r>
              <w:rPr>
                <w:rFonts w:ascii="Arial" w:eastAsia="MS Mincho" w:hAnsi="Arial" w:hint="eastAsia"/>
                <w:sz w:val="20"/>
                <w:lang w:eastAsia="en-GB"/>
              </w:rPr>
              <w:t>NCC value</w:t>
            </w:r>
            <w:r>
              <w:rPr>
                <w:rFonts w:ascii="Arial" w:eastAsia="MS Mincho" w:hAnsi="Arial"/>
                <w:sz w:val="20"/>
                <w:lang w:eastAsia="en-GB"/>
              </w:rPr>
              <w:t>s</w:t>
            </w:r>
            <w:r>
              <w:rPr>
                <w:rFonts w:ascii="Arial" w:eastAsia="MS Mincho" w:hAnsi="Arial" w:hint="eastAsia"/>
                <w:sz w:val="20"/>
                <w:lang w:eastAsia="en-GB"/>
              </w:rPr>
              <w:t xml:space="preserve"> </w:t>
            </w:r>
            <w:r>
              <w:rPr>
                <w:rFonts w:ascii="Arial" w:eastAsia="MS Mincho" w:hAnsi="Arial"/>
                <w:sz w:val="20"/>
                <w:lang w:eastAsia="en-GB"/>
              </w:rPr>
              <w:t>in a ciphered and integrity protected RRC message</w:t>
            </w:r>
            <w:r>
              <w:rPr>
                <w:rFonts w:ascii="Arial" w:eastAsia="MS Mincho" w:hAnsi="Arial" w:hint="eastAsia"/>
                <w:sz w:val="20"/>
                <w:lang w:eastAsia="en-GB"/>
              </w:rPr>
              <w:t xml:space="preserve"> and </w:t>
            </w:r>
            <w:r>
              <w:rPr>
                <w:rFonts w:ascii="Arial" w:eastAsia="MS Mincho" w:hAnsi="Arial"/>
                <w:sz w:val="20"/>
                <w:lang w:eastAsia="en-GB"/>
              </w:rPr>
              <w:t xml:space="preserve">the </w:t>
            </w:r>
            <w:r>
              <w:rPr>
                <w:rFonts w:ascii="Arial" w:eastAsia="MS Mincho" w:hAnsi="Arial" w:hint="eastAsia"/>
                <w:sz w:val="20"/>
                <w:lang w:eastAsia="en-GB"/>
              </w:rPr>
              <w:t xml:space="preserve">index of </w:t>
            </w:r>
            <w:r>
              <w:rPr>
                <w:rFonts w:ascii="Arial" w:eastAsia="MS Mincho" w:hAnsi="Arial"/>
                <w:sz w:val="20"/>
                <w:lang w:eastAsia="en-GB"/>
              </w:rPr>
              <w:t xml:space="preserve">an </w:t>
            </w:r>
            <w:r>
              <w:rPr>
                <w:rFonts w:ascii="Arial" w:eastAsia="MS Mincho" w:hAnsi="Arial" w:hint="eastAsia"/>
                <w:sz w:val="20"/>
                <w:lang w:eastAsia="en-GB"/>
              </w:rPr>
              <w:t xml:space="preserve">NCC </w:t>
            </w:r>
            <w:r>
              <w:rPr>
                <w:rFonts w:ascii="Arial" w:eastAsia="MS Mincho" w:hAnsi="Arial"/>
                <w:sz w:val="20"/>
                <w:lang w:eastAsia="en-GB"/>
              </w:rPr>
              <w:t xml:space="preserve">value in the list </w:t>
            </w:r>
            <w:r>
              <w:rPr>
                <w:rFonts w:ascii="Arial" w:eastAsia="MS Mincho" w:hAnsi="Arial" w:hint="eastAsia"/>
                <w:sz w:val="20"/>
                <w:lang w:eastAsia="en-GB"/>
              </w:rPr>
              <w:t xml:space="preserve">is included </w:t>
            </w:r>
            <w:r>
              <w:rPr>
                <w:rFonts w:ascii="Arial" w:eastAsia="MS Mincho" w:hAnsi="Arial"/>
                <w:sz w:val="20"/>
                <w:lang w:eastAsia="en-GB"/>
              </w:rPr>
              <w:t xml:space="preserve">in the LTM cell switch command MAC CE. </w:t>
            </w:r>
          </w:p>
          <w:p w14:paraId="5D3B2EB8" w14:textId="77777777" w:rsidR="006111B6" w:rsidRDefault="006111B6">
            <w:pPr>
              <w:tabs>
                <w:tab w:val="left" w:pos="1622"/>
              </w:tabs>
              <w:overflowPunct/>
              <w:autoSpaceDE/>
              <w:autoSpaceDN/>
              <w:adjustRightInd/>
              <w:spacing w:after="0" w:line="240" w:lineRule="auto"/>
              <w:ind w:left="270"/>
              <w:jc w:val="left"/>
              <w:textAlignment w:val="auto"/>
              <w:rPr>
                <w:rFonts w:ascii="Arial" w:eastAsia="MS Mincho" w:hAnsi="Arial"/>
                <w:sz w:val="20"/>
                <w:lang w:eastAsia="en-GB"/>
              </w:rPr>
            </w:pPr>
          </w:p>
          <w:p w14:paraId="427C2801" w14:textId="77777777" w:rsidR="006111B6" w:rsidRDefault="006E7348">
            <w:pPr>
              <w:tabs>
                <w:tab w:val="left" w:pos="1622"/>
              </w:tabs>
              <w:overflowPunct/>
              <w:autoSpaceDE/>
              <w:autoSpaceDN/>
              <w:adjustRightInd/>
              <w:spacing w:after="0" w:line="240" w:lineRule="auto"/>
              <w:ind w:left="270"/>
              <w:jc w:val="left"/>
              <w:textAlignment w:val="auto"/>
              <w:rPr>
                <w:rFonts w:ascii="Arial" w:eastAsia="MS Mincho" w:hAnsi="Arial"/>
                <w:sz w:val="20"/>
                <w:lang w:eastAsia="en-GB"/>
              </w:rPr>
            </w:pPr>
            <w:r>
              <w:rPr>
                <w:rFonts w:ascii="Arial" w:eastAsia="MS Mincho" w:hAnsi="Arial" w:hint="eastAsia"/>
                <w:b/>
                <w:bCs/>
                <w:sz w:val="20"/>
                <w:lang w:eastAsia="en-GB"/>
              </w:rPr>
              <w:t>Option 2:</w:t>
            </w:r>
            <w:r>
              <w:rPr>
                <w:rFonts w:ascii="Arial" w:eastAsia="MS Mincho" w:hAnsi="Arial" w:hint="eastAsia"/>
                <w:sz w:val="20"/>
                <w:lang w:eastAsia="en-GB"/>
              </w:rPr>
              <w:t xml:space="preserve"> </w:t>
            </w:r>
            <w:r>
              <w:rPr>
                <w:rFonts w:ascii="Arial" w:eastAsia="MS Mincho" w:hAnsi="Arial"/>
                <w:sz w:val="20"/>
                <w:lang w:eastAsia="en-GB"/>
              </w:rPr>
              <w:t>Similar to</w:t>
            </w:r>
            <w:r>
              <w:rPr>
                <w:rFonts w:ascii="Arial" w:eastAsia="MS Mincho" w:hAnsi="Arial" w:hint="eastAsia"/>
                <w:sz w:val="20"/>
                <w:lang w:eastAsia="en-GB"/>
              </w:rPr>
              <w:t xml:space="preserve"> </w:t>
            </w:r>
            <w:r>
              <w:rPr>
                <w:rFonts w:ascii="Arial" w:eastAsia="MS Mincho" w:hAnsi="Arial"/>
                <w:sz w:val="20"/>
                <w:lang w:eastAsia="en-GB"/>
              </w:rPr>
              <w:t xml:space="preserve">Rel-18 </w:t>
            </w:r>
            <w:r>
              <w:rPr>
                <w:rFonts w:ascii="Arial" w:eastAsia="MS Mincho" w:hAnsi="Arial" w:hint="eastAsia"/>
                <w:sz w:val="20"/>
                <w:lang w:eastAsia="en-GB"/>
              </w:rPr>
              <w:t>S</w:t>
            </w:r>
            <w:r>
              <w:rPr>
                <w:rFonts w:ascii="Arial" w:eastAsia="MS Mincho" w:hAnsi="Arial"/>
                <w:sz w:val="20"/>
                <w:lang w:eastAsia="en-GB"/>
              </w:rPr>
              <w:t>-</w:t>
            </w:r>
            <w:r>
              <w:rPr>
                <w:rFonts w:ascii="Arial" w:eastAsia="MS Mincho" w:hAnsi="Arial" w:hint="eastAsia"/>
                <w:sz w:val="20"/>
                <w:lang w:eastAsia="en-GB"/>
              </w:rPr>
              <w:t>CPAC key update mechanism</w:t>
            </w:r>
            <w:r>
              <w:rPr>
                <w:rFonts w:ascii="Arial" w:eastAsia="MS Mincho" w:hAnsi="Arial"/>
                <w:sz w:val="20"/>
                <w:lang w:eastAsia="en-GB"/>
              </w:rPr>
              <w:t xml:space="preserve">, the </w:t>
            </w:r>
            <w:r>
              <w:rPr>
                <w:rFonts w:ascii="Arial" w:eastAsia="MS Mincho" w:hAnsi="Arial" w:hint="eastAsia"/>
                <w:sz w:val="20"/>
                <w:lang w:eastAsia="en-GB"/>
              </w:rPr>
              <w:t xml:space="preserve">UE is preconfigured </w:t>
            </w:r>
            <w:r>
              <w:rPr>
                <w:rFonts w:ascii="Arial" w:eastAsia="MS Mincho" w:hAnsi="Arial"/>
                <w:sz w:val="20"/>
                <w:lang w:eastAsia="en-GB"/>
              </w:rPr>
              <w:t xml:space="preserve">from the source </w:t>
            </w:r>
            <w:proofErr w:type="spellStart"/>
            <w:r>
              <w:rPr>
                <w:rFonts w:ascii="Arial" w:eastAsia="MS Mincho" w:hAnsi="Arial"/>
                <w:sz w:val="20"/>
                <w:lang w:eastAsia="en-GB"/>
              </w:rPr>
              <w:t>gNB</w:t>
            </w:r>
            <w:proofErr w:type="spellEnd"/>
            <w:r>
              <w:rPr>
                <w:rFonts w:ascii="Arial" w:eastAsia="MS Mincho" w:hAnsi="Arial"/>
                <w:sz w:val="20"/>
                <w:lang w:eastAsia="en-GB"/>
              </w:rPr>
              <w:t xml:space="preserve"> </w:t>
            </w:r>
            <w:r>
              <w:rPr>
                <w:rFonts w:ascii="Arial" w:eastAsia="MS Mincho" w:hAnsi="Arial" w:hint="eastAsia"/>
                <w:sz w:val="20"/>
                <w:lang w:eastAsia="en-GB"/>
              </w:rPr>
              <w:t xml:space="preserve">with a </w:t>
            </w:r>
            <w:r>
              <w:rPr>
                <w:rFonts w:ascii="Arial" w:eastAsia="MS Mincho" w:hAnsi="Arial"/>
                <w:sz w:val="20"/>
                <w:lang w:eastAsia="en-GB"/>
              </w:rPr>
              <w:t xml:space="preserve">list of </w:t>
            </w:r>
            <w:r>
              <w:rPr>
                <w:rFonts w:ascii="Arial" w:eastAsia="MS Mincho" w:hAnsi="Arial" w:hint="eastAsia"/>
                <w:sz w:val="20"/>
                <w:lang w:eastAsia="en-GB"/>
              </w:rPr>
              <w:t xml:space="preserve">NCC </w:t>
            </w:r>
            <w:r>
              <w:rPr>
                <w:rFonts w:ascii="Arial" w:eastAsia="MS Mincho" w:hAnsi="Arial"/>
                <w:sz w:val="20"/>
                <w:lang w:eastAsia="en-GB"/>
              </w:rPr>
              <w:t>values</w:t>
            </w:r>
            <w:r>
              <w:rPr>
                <w:rFonts w:ascii="Arial" w:eastAsia="MS Mincho" w:hAnsi="Arial" w:hint="eastAsia"/>
                <w:sz w:val="20"/>
                <w:lang w:eastAsia="en-GB"/>
              </w:rPr>
              <w:t xml:space="preserve"> </w:t>
            </w:r>
            <w:r>
              <w:rPr>
                <w:rFonts w:ascii="Arial" w:eastAsia="MS Mincho" w:hAnsi="Arial" w:hint="eastAsia"/>
                <w:b/>
                <w:bCs/>
                <w:sz w:val="20"/>
                <w:lang w:eastAsia="en-GB"/>
              </w:rPr>
              <w:t>per CU</w:t>
            </w:r>
            <w:r>
              <w:rPr>
                <w:rFonts w:ascii="Arial" w:eastAsia="MS Mincho" w:hAnsi="Arial"/>
                <w:b/>
                <w:bCs/>
                <w:sz w:val="20"/>
                <w:lang w:eastAsia="en-GB"/>
              </w:rPr>
              <w:t xml:space="preserve"> </w:t>
            </w:r>
            <w:r>
              <w:rPr>
                <w:rFonts w:ascii="Arial" w:eastAsia="MS Mincho" w:hAnsi="Arial"/>
                <w:sz w:val="20"/>
                <w:lang w:eastAsia="en-GB"/>
              </w:rPr>
              <w:t xml:space="preserve">using RRC signalling (that is both </w:t>
            </w:r>
            <w:proofErr w:type="gramStart"/>
            <w:r>
              <w:rPr>
                <w:rFonts w:ascii="Arial" w:eastAsia="MS Mincho" w:hAnsi="Arial"/>
                <w:sz w:val="20"/>
                <w:lang w:eastAsia="en-GB"/>
              </w:rPr>
              <w:t>integrity</w:t>
            </w:r>
            <w:proofErr w:type="gramEnd"/>
            <w:r>
              <w:rPr>
                <w:rFonts w:ascii="Arial" w:eastAsia="MS Mincho" w:hAnsi="Arial"/>
                <w:sz w:val="20"/>
                <w:lang w:eastAsia="en-GB"/>
              </w:rPr>
              <w:t xml:space="preserve"> protected and ciphered). It is expected that the participating </w:t>
            </w:r>
            <w:proofErr w:type="spellStart"/>
            <w:r>
              <w:rPr>
                <w:rFonts w:ascii="Arial" w:eastAsia="MS Mincho" w:hAnsi="Arial"/>
                <w:sz w:val="20"/>
                <w:lang w:eastAsia="en-GB"/>
              </w:rPr>
              <w:t>gNBs</w:t>
            </w:r>
            <w:proofErr w:type="spellEnd"/>
            <w:r>
              <w:rPr>
                <w:rFonts w:ascii="Arial" w:eastAsia="MS Mincho" w:hAnsi="Arial"/>
                <w:sz w:val="20"/>
                <w:lang w:eastAsia="en-GB"/>
              </w:rPr>
              <w:t xml:space="preserve"> (CUs) would need to be aware of the list and how the UE applies the list during LTM cell switches: </w:t>
            </w:r>
          </w:p>
          <w:p w14:paraId="30177C11" w14:textId="77777777" w:rsidR="006111B6" w:rsidRDefault="006E7348">
            <w:pPr>
              <w:tabs>
                <w:tab w:val="left" w:pos="1622"/>
              </w:tabs>
              <w:overflowPunct/>
              <w:autoSpaceDE/>
              <w:autoSpaceDN/>
              <w:adjustRightInd/>
              <w:spacing w:after="0" w:line="240" w:lineRule="auto"/>
              <w:ind w:left="540"/>
              <w:jc w:val="left"/>
              <w:textAlignment w:val="auto"/>
              <w:rPr>
                <w:rFonts w:ascii="Arial" w:eastAsia="MS Mincho" w:hAnsi="Arial"/>
                <w:sz w:val="20"/>
                <w:lang w:eastAsia="en-GB"/>
              </w:rPr>
            </w:pPr>
            <w:r>
              <w:rPr>
                <w:rFonts w:ascii="Arial" w:eastAsia="MS Mincho" w:hAnsi="Arial"/>
                <w:b/>
                <w:bCs/>
                <w:sz w:val="20"/>
                <w:lang w:eastAsia="en-GB"/>
              </w:rPr>
              <w:t>Option 2A:</w:t>
            </w:r>
            <w:r>
              <w:rPr>
                <w:rFonts w:ascii="Arial" w:eastAsia="MS Mincho" w:hAnsi="Arial"/>
                <w:sz w:val="20"/>
                <w:lang w:eastAsia="en-GB"/>
              </w:rPr>
              <w:t xml:space="preserve"> </w:t>
            </w:r>
            <w:r>
              <w:rPr>
                <w:rFonts w:ascii="Arial" w:eastAsia="MS Mincho" w:hAnsi="Arial" w:hint="eastAsia"/>
                <w:sz w:val="20"/>
                <w:lang w:eastAsia="en-GB"/>
              </w:rPr>
              <w:t xml:space="preserve"> UE chooses </w:t>
            </w:r>
            <w:r>
              <w:rPr>
                <w:rFonts w:ascii="Arial" w:eastAsia="MS Mincho" w:hAnsi="Arial"/>
                <w:sz w:val="20"/>
                <w:lang w:eastAsia="en-GB"/>
              </w:rPr>
              <w:t>the first unused NCC</w:t>
            </w:r>
            <w:r>
              <w:rPr>
                <w:rFonts w:ascii="Arial" w:eastAsia="MS Mincho" w:hAnsi="Arial" w:hint="eastAsia"/>
                <w:sz w:val="20"/>
                <w:lang w:eastAsia="en-GB"/>
              </w:rPr>
              <w:t xml:space="preserve"> </w:t>
            </w:r>
            <w:r>
              <w:rPr>
                <w:rFonts w:ascii="Arial" w:eastAsia="MS Mincho" w:hAnsi="Arial"/>
                <w:sz w:val="20"/>
                <w:lang w:eastAsia="en-GB"/>
              </w:rPr>
              <w:t xml:space="preserve">for the target CU </w:t>
            </w:r>
            <w:r>
              <w:rPr>
                <w:rFonts w:ascii="Arial" w:eastAsia="MS Mincho" w:hAnsi="Arial" w:hint="eastAsia"/>
                <w:sz w:val="20"/>
                <w:lang w:eastAsia="en-GB"/>
              </w:rPr>
              <w:t>upon inter-CU LTM execution</w:t>
            </w:r>
            <w:r>
              <w:rPr>
                <w:rFonts w:ascii="Arial" w:eastAsia="MS Mincho" w:hAnsi="Arial"/>
                <w:sz w:val="20"/>
                <w:lang w:eastAsia="en-GB"/>
              </w:rPr>
              <w:t>.</w:t>
            </w:r>
          </w:p>
          <w:p w14:paraId="0FFF5984" w14:textId="77777777" w:rsidR="006111B6" w:rsidRDefault="006E7348">
            <w:pPr>
              <w:tabs>
                <w:tab w:val="left" w:pos="1622"/>
              </w:tabs>
              <w:overflowPunct/>
              <w:autoSpaceDE/>
              <w:autoSpaceDN/>
              <w:adjustRightInd/>
              <w:spacing w:after="0" w:line="240" w:lineRule="auto"/>
              <w:ind w:left="540" w:hanging="363"/>
              <w:jc w:val="left"/>
              <w:textAlignment w:val="auto"/>
              <w:rPr>
                <w:rFonts w:ascii="Arial" w:eastAsia="MS Mincho" w:hAnsi="Arial"/>
                <w:sz w:val="20"/>
                <w:lang w:eastAsia="en-GB"/>
              </w:rPr>
            </w:pPr>
            <w:r>
              <w:rPr>
                <w:rFonts w:ascii="Arial" w:eastAsia="MS Mincho" w:hAnsi="Arial"/>
                <w:sz w:val="20"/>
                <w:lang w:eastAsia="en-GB"/>
              </w:rPr>
              <w:lastRenderedPageBreak/>
              <w:tab/>
            </w:r>
            <w:r>
              <w:rPr>
                <w:rFonts w:ascii="Arial" w:eastAsia="MS Mincho" w:hAnsi="Arial"/>
                <w:b/>
                <w:bCs/>
                <w:sz w:val="20"/>
                <w:lang w:eastAsia="en-GB"/>
              </w:rPr>
              <w:t>Option 2B:</w:t>
            </w:r>
            <w:r>
              <w:rPr>
                <w:rFonts w:ascii="Arial" w:eastAsia="MS Mincho" w:hAnsi="Arial"/>
                <w:sz w:val="20"/>
                <w:lang w:eastAsia="en-GB"/>
              </w:rPr>
              <w:t xml:space="preserve"> </w:t>
            </w:r>
            <w:r>
              <w:rPr>
                <w:rFonts w:ascii="Arial" w:eastAsia="MS Mincho" w:hAnsi="Arial" w:hint="eastAsia"/>
                <w:sz w:val="20"/>
                <w:lang w:eastAsia="en-GB"/>
              </w:rPr>
              <w:t xml:space="preserve"> </w:t>
            </w:r>
            <w:r>
              <w:rPr>
                <w:rFonts w:ascii="Arial" w:eastAsia="MS Mincho" w:hAnsi="Arial"/>
                <w:sz w:val="20"/>
                <w:lang w:eastAsia="en-GB"/>
              </w:rPr>
              <w:t xml:space="preserve">As an alternative to choosing the next unused NCC (as in option 2A), horizontal key derivation is used in this option if the LTM cell switch is between the same two CUs. </w:t>
            </w:r>
          </w:p>
          <w:p w14:paraId="5219DF6A" w14:textId="77777777" w:rsidR="006111B6" w:rsidRDefault="006111B6">
            <w:pPr>
              <w:tabs>
                <w:tab w:val="left" w:pos="1622"/>
              </w:tabs>
              <w:overflowPunct/>
              <w:autoSpaceDE/>
              <w:autoSpaceDN/>
              <w:adjustRightInd/>
              <w:spacing w:after="0" w:line="240" w:lineRule="auto"/>
              <w:ind w:left="270"/>
              <w:jc w:val="left"/>
              <w:textAlignment w:val="auto"/>
              <w:rPr>
                <w:rFonts w:ascii="Arial" w:eastAsia="MS Mincho" w:hAnsi="Arial"/>
                <w:sz w:val="20"/>
                <w:lang w:eastAsia="en-GB"/>
              </w:rPr>
            </w:pPr>
          </w:p>
          <w:p w14:paraId="459CC3C5" w14:textId="77777777" w:rsidR="006111B6" w:rsidRDefault="006111B6">
            <w:pPr>
              <w:tabs>
                <w:tab w:val="left" w:pos="1622"/>
              </w:tabs>
              <w:overflowPunct/>
              <w:autoSpaceDE/>
              <w:autoSpaceDN/>
              <w:adjustRightInd/>
              <w:spacing w:after="0" w:line="240" w:lineRule="auto"/>
              <w:ind w:left="270"/>
              <w:jc w:val="left"/>
              <w:textAlignment w:val="auto"/>
              <w:rPr>
                <w:rFonts w:ascii="Arial" w:eastAsia="MS Mincho" w:hAnsi="Arial"/>
                <w:sz w:val="20"/>
                <w:lang w:eastAsia="en-GB"/>
              </w:rPr>
            </w:pPr>
          </w:p>
          <w:p w14:paraId="2A0F2360" w14:textId="77777777" w:rsidR="006111B6" w:rsidRDefault="006E7348">
            <w:pPr>
              <w:tabs>
                <w:tab w:val="left" w:pos="1622"/>
              </w:tabs>
              <w:overflowPunct/>
              <w:autoSpaceDE/>
              <w:autoSpaceDN/>
              <w:adjustRightInd/>
              <w:spacing w:after="0" w:line="240" w:lineRule="auto"/>
              <w:ind w:left="270"/>
              <w:jc w:val="left"/>
              <w:textAlignment w:val="auto"/>
              <w:rPr>
                <w:rFonts w:ascii="Arial" w:eastAsia="MS Mincho" w:hAnsi="Arial"/>
                <w:sz w:val="20"/>
                <w:lang w:eastAsia="en-GB"/>
              </w:rPr>
            </w:pPr>
            <w:r>
              <w:rPr>
                <w:rFonts w:ascii="Arial" w:eastAsia="MS Mincho" w:hAnsi="Arial" w:hint="eastAsia"/>
                <w:b/>
                <w:bCs/>
                <w:sz w:val="20"/>
                <w:lang w:eastAsia="en-GB"/>
              </w:rPr>
              <w:t>Option 3:</w:t>
            </w:r>
            <w:r>
              <w:rPr>
                <w:rFonts w:ascii="Arial" w:eastAsia="MS Mincho" w:hAnsi="Arial" w:hint="eastAsia"/>
                <w:sz w:val="20"/>
                <w:lang w:eastAsia="en-GB"/>
              </w:rPr>
              <w:t xml:space="preserve"> </w:t>
            </w:r>
            <w:r>
              <w:rPr>
                <w:rFonts w:ascii="Arial" w:eastAsia="MS Mincho" w:hAnsi="Arial"/>
                <w:sz w:val="20"/>
                <w:lang w:eastAsia="en-GB"/>
              </w:rPr>
              <w:t xml:space="preserve">After the execution of inter-CU LTM cell switch, the participating </w:t>
            </w:r>
            <w:proofErr w:type="spellStart"/>
            <w:r>
              <w:rPr>
                <w:rFonts w:ascii="Arial" w:eastAsia="MS Mincho" w:hAnsi="Arial"/>
                <w:sz w:val="20"/>
                <w:lang w:eastAsia="en-GB"/>
              </w:rPr>
              <w:t>gNBs</w:t>
            </w:r>
            <w:proofErr w:type="spellEnd"/>
            <w:r>
              <w:rPr>
                <w:rFonts w:ascii="Arial" w:eastAsia="MS Mincho" w:hAnsi="Arial"/>
                <w:sz w:val="20"/>
                <w:lang w:eastAsia="en-GB"/>
              </w:rPr>
              <w:t xml:space="preserve"> are expected to be updated with new K-</w:t>
            </w:r>
            <w:proofErr w:type="spellStart"/>
            <w:r>
              <w:rPr>
                <w:rFonts w:ascii="Arial" w:eastAsia="MS Mincho" w:hAnsi="Arial"/>
                <w:sz w:val="20"/>
                <w:lang w:eastAsia="en-GB"/>
              </w:rPr>
              <w:t>gNB</w:t>
            </w:r>
            <w:proofErr w:type="spellEnd"/>
            <w:r>
              <w:rPr>
                <w:rFonts w:ascii="Arial" w:eastAsia="MS Mincho" w:hAnsi="Arial"/>
                <w:sz w:val="20"/>
                <w:lang w:eastAsia="en-GB"/>
              </w:rPr>
              <w:t xml:space="preserve">* to be used for the next inter-CU LTM cell switch. The UE and CN are aware of how the UE would use the next </w:t>
            </w:r>
            <w:r>
              <w:rPr>
                <w:rFonts w:ascii="Arial" w:eastAsia="MS Mincho" w:hAnsi="Arial" w:hint="eastAsia"/>
                <w:sz w:val="20"/>
                <w:lang w:eastAsia="en-GB"/>
              </w:rPr>
              <w:t>NCC value</w:t>
            </w:r>
            <w:r>
              <w:rPr>
                <w:rFonts w:ascii="Arial" w:eastAsia="MS Mincho" w:hAnsi="Arial"/>
                <w:sz w:val="20"/>
                <w:lang w:eastAsia="en-GB"/>
              </w:rPr>
              <w:t>.</w:t>
            </w:r>
          </w:p>
          <w:p w14:paraId="21CCE64E" w14:textId="77777777" w:rsidR="006111B6" w:rsidRDefault="006E7348">
            <w:pPr>
              <w:tabs>
                <w:tab w:val="left" w:pos="1622"/>
              </w:tabs>
              <w:overflowPunct/>
              <w:autoSpaceDE/>
              <w:autoSpaceDN/>
              <w:adjustRightInd/>
              <w:spacing w:after="0" w:line="240" w:lineRule="auto"/>
              <w:ind w:left="540" w:hanging="363"/>
              <w:jc w:val="left"/>
              <w:textAlignment w:val="auto"/>
              <w:rPr>
                <w:rFonts w:ascii="Arial" w:eastAsia="MS Mincho" w:hAnsi="Arial"/>
                <w:sz w:val="20"/>
                <w:lang w:eastAsia="en-GB"/>
              </w:rPr>
            </w:pPr>
            <w:r>
              <w:rPr>
                <w:rFonts w:ascii="Arial" w:eastAsia="MS Mincho" w:hAnsi="Arial"/>
                <w:sz w:val="20"/>
                <w:lang w:eastAsia="en-GB"/>
              </w:rPr>
              <w:tab/>
            </w:r>
            <w:r>
              <w:rPr>
                <w:rFonts w:ascii="Arial" w:eastAsia="MS Mincho" w:hAnsi="Arial"/>
                <w:b/>
                <w:bCs/>
                <w:sz w:val="20"/>
                <w:lang w:eastAsia="en-GB"/>
              </w:rPr>
              <w:t>Option 3A:</w:t>
            </w:r>
            <w:r>
              <w:rPr>
                <w:rFonts w:ascii="Arial" w:eastAsia="MS Mincho" w:hAnsi="Arial"/>
                <w:sz w:val="20"/>
                <w:lang w:eastAsia="en-GB"/>
              </w:rPr>
              <w:t xml:space="preserve"> </w:t>
            </w:r>
            <w:r>
              <w:rPr>
                <w:rFonts w:ascii="Arial" w:eastAsia="MS Mincho" w:hAnsi="Arial" w:hint="eastAsia"/>
                <w:sz w:val="20"/>
                <w:lang w:eastAsia="en-GB"/>
              </w:rPr>
              <w:t xml:space="preserve"> </w:t>
            </w:r>
            <w:r>
              <w:rPr>
                <w:rFonts w:ascii="Arial" w:eastAsia="MS Mincho" w:hAnsi="Arial"/>
                <w:sz w:val="20"/>
                <w:lang w:eastAsia="en-GB"/>
              </w:rPr>
              <w:t xml:space="preserve">The </w:t>
            </w:r>
            <w:r>
              <w:rPr>
                <w:rFonts w:ascii="Arial" w:eastAsia="MS Mincho" w:hAnsi="Arial" w:hint="eastAsia"/>
                <w:sz w:val="20"/>
                <w:lang w:eastAsia="en-GB"/>
              </w:rPr>
              <w:t xml:space="preserve">UE determines the following NCC </w:t>
            </w:r>
            <w:r>
              <w:rPr>
                <w:rFonts w:ascii="Arial" w:eastAsia="MS Mincho" w:hAnsi="Arial"/>
                <w:sz w:val="20"/>
                <w:lang w:eastAsia="en-GB"/>
              </w:rPr>
              <w:t xml:space="preserve">value </w:t>
            </w:r>
            <w:r>
              <w:rPr>
                <w:rFonts w:ascii="Arial" w:eastAsia="MS Mincho" w:hAnsi="Arial" w:hint="eastAsia"/>
                <w:sz w:val="20"/>
                <w:lang w:eastAsia="en-GB"/>
              </w:rPr>
              <w:t>to use by itself</w:t>
            </w:r>
            <w:r>
              <w:rPr>
                <w:rFonts w:ascii="Arial" w:eastAsia="MS Mincho" w:hAnsi="Arial"/>
                <w:sz w:val="20"/>
                <w:lang w:eastAsia="en-GB"/>
              </w:rPr>
              <w:t xml:space="preserve"> (e.g., increase by 1)</w:t>
            </w:r>
            <w:r>
              <w:rPr>
                <w:rFonts w:ascii="Arial" w:eastAsia="MS Mincho" w:hAnsi="Arial" w:hint="eastAsia"/>
                <w:sz w:val="20"/>
                <w:lang w:eastAsia="en-GB"/>
              </w:rPr>
              <w:t xml:space="preserve"> </w:t>
            </w:r>
            <w:r>
              <w:rPr>
                <w:rFonts w:ascii="Arial" w:eastAsia="MS Mincho" w:hAnsi="Arial"/>
                <w:sz w:val="20"/>
                <w:lang w:eastAsia="en-GB"/>
              </w:rPr>
              <w:t>after</w:t>
            </w:r>
            <w:r>
              <w:rPr>
                <w:rFonts w:ascii="Arial" w:eastAsia="MS Mincho" w:hAnsi="Arial" w:hint="eastAsia"/>
                <w:sz w:val="20"/>
                <w:lang w:eastAsia="en-GB"/>
              </w:rPr>
              <w:t xml:space="preserve"> subsequent inter-CU LTM execution</w:t>
            </w:r>
            <w:r>
              <w:rPr>
                <w:rFonts w:ascii="Arial" w:eastAsia="MS Mincho" w:hAnsi="Arial"/>
                <w:sz w:val="20"/>
                <w:lang w:eastAsia="en-GB"/>
              </w:rPr>
              <w:t>.</w:t>
            </w:r>
          </w:p>
          <w:p w14:paraId="4CABFC4D" w14:textId="77777777" w:rsidR="006111B6" w:rsidRDefault="006E7348">
            <w:pPr>
              <w:tabs>
                <w:tab w:val="left" w:pos="1622"/>
              </w:tabs>
              <w:overflowPunct/>
              <w:autoSpaceDE/>
              <w:autoSpaceDN/>
              <w:adjustRightInd/>
              <w:spacing w:after="0" w:line="240" w:lineRule="auto"/>
              <w:ind w:left="540" w:hanging="363"/>
              <w:jc w:val="left"/>
              <w:textAlignment w:val="auto"/>
              <w:rPr>
                <w:rFonts w:ascii="Arial" w:eastAsia="MS Mincho" w:hAnsi="Arial"/>
                <w:sz w:val="20"/>
                <w:lang w:eastAsia="en-GB"/>
              </w:rPr>
            </w:pPr>
            <w:r>
              <w:rPr>
                <w:rFonts w:ascii="Arial" w:eastAsia="MS Mincho" w:hAnsi="Arial"/>
                <w:sz w:val="20"/>
                <w:lang w:eastAsia="en-GB"/>
              </w:rPr>
              <w:tab/>
            </w:r>
            <w:r>
              <w:rPr>
                <w:rFonts w:ascii="Arial" w:eastAsia="MS Mincho" w:hAnsi="Arial"/>
                <w:b/>
                <w:bCs/>
                <w:sz w:val="20"/>
                <w:lang w:eastAsia="en-GB"/>
              </w:rPr>
              <w:t>Option 3B:</w:t>
            </w:r>
            <w:r>
              <w:rPr>
                <w:rFonts w:ascii="Arial" w:eastAsia="MS Mincho" w:hAnsi="Arial"/>
                <w:sz w:val="20"/>
                <w:lang w:eastAsia="en-GB"/>
              </w:rPr>
              <w:t xml:space="preserve"> </w:t>
            </w:r>
            <w:r>
              <w:rPr>
                <w:rFonts w:ascii="Arial" w:eastAsia="MS Mincho" w:hAnsi="Arial" w:hint="eastAsia"/>
                <w:sz w:val="20"/>
                <w:lang w:eastAsia="en-GB"/>
              </w:rPr>
              <w:t xml:space="preserve"> UE is pre</w:t>
            </w:r>
            <w:r>
              <w:rPr>
                <w:rFonts w:ascii="Arial" w:eastAsia="MS Mincho" w:hAnsi="Arial"/>
                <w:sz w:val="20"/>
                <w:lang w:eastAsia="en-GB"/>
              </w:rPr>
              <w:t>-</w:t>
            </w:r>
            <w:r>
              <w:rPr>
                <w:rFonts w:ascii="Arial" w:eastAsia="MS Mincho" w:hAnsi="Arial" w:hint="eastAsia"/>
                <w:sz w:val="20"/>
                <w:lang w:eastAsia="en-GB"/>
              </w:rPr>
              <w:t>configured</w:t>
            </w:r>
            <w:r>
              <w:rPr>
                <w:rFonts w:ascii="Arial" w:eastAsia="MS Mincho" w:hAnsi="Arial"/>
                <w:sz w:val="20"/>
                <w:lang w:eastAsia="en-GB"/>
              </w:rPr>
              <w:t xml:space="preserve"> by the CN (via source </w:t>
            </w:r>
            <w:proofErr w:type="spellStart"/>
            <w:r>
              <w:rPr>
                <w:rFonts w:ascii="Arial" w:eastAsia="MS Mincho" w:hAnsi="Arial"/>
                <w:sz w:val="20"/>
                <w:lang w:eastAsia="en-GB"/>
              </w:rPr>
              <w:t>gNB</w:t>
            </w:r>
            <w:proofErr w:type="spellEnd"/>
            <w:r>
              <w:rPr>
                <w:rFonts w:ascii="Arial" w:eastAsia="MS Mincho" w:hAnsi="Arial"/>
                <w:sz w:val="20"/>
                <w:lang w:eastAsia="en-GB"/>
              </w:rPr>
              <w:t xml:space="preserve"> RRC signalling) </w:t>
            </w:r>
            <w:r>
              <w:rPr>
                <w:rFonts w:ascii="Arial" w:eastAsia="MS Mincho" w:hAnsi="Arial" w:hint="eastAsia"/>
                <w:sz w:val="20"/>
                <w:lang w:eastAsia="en-GB"/>
              </w:rPr>
              <w:t xml:space="preserve">with a </w:t>
            </w:r>
            <w:r>
              <w:rPr>
                <w:rFonts w:ascii="Arial" w:eastAsia="MS Mincho" w:hAnsi="Arial"/>
                <w:sz w:val="20"/>
                <w:lang w:eastAsia="en-GB"/>
              </w:rPr>
              <w:t xml:space="preserve">list of </w:t>
            </w:r>
            <w:r>
              <w:rPr>
                <w:rFonts w:ascii="Arial" w:eastAsia="MS Mincho" w:hAnsi="Arial" w:hint="eastAsia"/>
                <w:sz w:val="20"/>
                <w:lang w:eastAsia="en-GB"/>
              </w:rPr>
              <w:t>NCC value</w:t>
            </w:r>
            <w:r>
              <w:rPr>
                <w:rFonts w:ascii="Arial" w:eastAsia="MS Mincho" w:hAnsi="Arial"/>
                <w:sz w:val="20"/>
                <w:lang w:eastAsia="en-GB"/>
              </w:rPr>
              <w:t xml:space="preserve">s and the UE </w:t>
            </w:r>
            <w:r>
              <w:rPr>
                <w:rFonts w:ascii="Arial" w:eastAsia="MS Mincho" w:hAnsi="Arial" w:hint="eastAsia"/>
                <w:sz w:val="20"/>
                <w:lang w:eastAsia="en-GB"/>
              </w:rPr>
              <w:t xml:space="preserve">chooses </w:t>
            </w:r>
            <w:r>
              <w:rPr>
                <w:rFonts w:ascii="Arial" w:eastAsia="MS Mincho" w:hAnsi="Arial"/>
                <w:sz w:val="20"/>
                <w:lang w:eastAsia="en-GB"/>
              </w:rPr>
              <w:t>the first unused NCC</w:t>
            </w:r>
            <w:r>
              <w:rPr>
                <w:rFonts w:ascii="Arial" w:eastAsia="MS Mincho" w:hAnsi="Arial" w:hint="eastAsia"/>
                <w:sz w:val="20"/>
                <w:lang w:eastAsia="en-GB"/>
              </w:rPr>
              <w:t xml:space="preserve"> </w:t>
            </w:r>
            <w:r>
              <w:rPr>
                <w:rFonts w:ascii="Arial" w:eastAsia="MS Mincho" w:hAnsi="Arial"/>
                <w:sz w:val="20"/>
                <w:lang w:eastAsia="en-GB"/>
              </w:rPr>
              <w:t>value as the next NCC value.</w:t>
            </w:r>
          </w:p>
          <w:p w14:paraId="7CFAF820" w14:textId="77777777" w:rsidR="006111B6" w:rsidRDefault="006111B6">
            <w:pPr>
              <w:tabs>
                <w:tab w:val="left" w:pos="1622"/>
              </w:tabs>
              <w:overflowPunct/>
              <w:autoSpaceDE/>
              <w:autoSpaceDN/>
              <w:adjustRightInd/>
              <w:spacing w:after="0" w:line="240" w:lineRule="auto"/>
              <w:ind w:left="270" w:hanging="363"/>
              <w:jc w:val="left"/>
              <w:textAlignment w:val="auto"/>
              <w:rPr>
                <w:rFonts w:ascii="Arial" w:eastAsia="MS Mincho" w:hAnsi="Arial"/>
                <w:sz w:val="20"/>
                <w:lang w:eastAsia="en-GB"/>
              </w:rPr>
            </w:pPr>
          </w:p>
          <w:p w14:paraId="430DE1E1" w14:textId="77777777" w:rsidR="006111B6" w:rsidRDefault="006E7348">
            <w:pPr>
              <w:tabs>
                <w:tab w:val="left" w:pos="1622"/>
              </w:tabs>
              <w:overflowPunct/>
              <w:autoSpaceDE/>
              <w:autoSpaceDN/>
              <w:adjustRightInd/>
              <w:spacing w:after="0" w:line="240" w:lineRule="auto"/>
              <w:ind w:left="270"/>
              <w:jc w:val="left"/>
              <w:textAlignment w:val="auto"/>
              <w:rPr>
                <w:rFonts w:ascii="Arial" w:eastAsia="MS Mincho" w:hAnsi="Arial"/>
                <w:sz w:val="20"/>
                <w:szCs w:val="24"/>
                <w:lang w:eastAsia="en-GB"/>
              </w:rPr>
            </w:pPr>
            <w:r>
              <w:rPr>
                <w:rFonts w:ascii="Arial" w:eastAsia="MS Mincho" w:hAnsi="Arial" w:hint="eastAsia"/>
                <w:b/>
                <w:bCs/>
                <w:sz w:val="20"/>
                <w:lang w:eastAsia="en-GB"/>
              </w:rPr>
              <w:t xml:space="preserve">Option </w:t>
            </w:r>
            <w:r>
              <w:rPr>
                <w:rFonts w:ascii="Arial" w:eastAsia="MS Mincho" w:hAnsi="Arial"/>
                <w:b/>
                <w:bCs/>
                <w:sz w:val="20"/>
                <w:lang w:eastAsia="en-GB"/>
              </w:rPr>
              <w:t>4</w:t>
            </w:r>
            <w:r>
              <w:rPr>
                <w:rFonts w:ascii="Arial" w:eastAsia="MS Mincho" w:hAnsi="Arial" w:hint="eastAsia"/>
                <w:b/>
                <w:bCs/>
                <w:sz w:val="20"/>
                <w:lang w:eastAsia="en-GB"/>
              </w:rPr>
              <w:t>:</w:t>
            </w:r>
            <w:r>
              <w:rPr>
                <w:rFonts w:ascii="Arial" w:eastAsia="MS Mincho" w:hAnsi="Arial" w:hint="eastAsia"/>
                <w:sz w:val="20"/>
                <w:lang w:eastAsia="en-GB"/>
              </w:rPr>
              <w:t xml:space="preserve"> </w:t>
            </w:r>
            <w:r>
              <w:rPr>
                <w:rFonts w:ascii="Arial" w:eastAsia="MS Mincho" w:hAnsi="Arial"/>
                <w:sz w:val="20"/>
                <w:lang w:eastAsia="en-GB"/>
              </w:rPr>
              <w:t xml:space="preserve">After every inter-CU LTM cell switch execution, the UE is provided via RRC signalling with the NCC value to be used by the UE for key derivation at the next inter-CU LTM cell switch. </w:t>
            </w:r>
          </w:p>
        </w:tc>
      </w:tr>
    </w:tbl>
    <w:p w14:paraId="28F8110B" w14:textId="77777777" w:rsidR="006111B6" w:rsidRDefault="006111B6">
      <w:pPr>
        <w:rPr>
          <w:bCs/>
          <w:sz w:val="20"/>
        </w:rPr>
      </w:pPr>
    </w:p>
    <w:p w14:paraId="4FB2935C" w14:textId="61B2C937" w:rsidR="006111B6" w:rsidRDefault="006E7348">
      <w:pPr>
        <w:rPr>
          <w:bCs/>
          <w:sz w:val="20"/>
        </w:rPr>
      </w:pPr>
      <w:r>
        <w:rPr>
          <w:bCs/>
          <w:sz w:val="20"/>
        </w:rPr>
        <w:t>Considering the RAN2’s request on avoiding RRC configuration between cell switches for subsequent inter-CU LTM in solution selection, the Reply LS fr</w:t>
      </w:r>
      <w:r>
        <w:rPr>
          <w:rFonts w:hint="eastAsia"/>
          <w:bCs/>
          <w:sz w:val="20"/>
        </w:rPr>
        <w:t>o</w:t>
      </w:r>
      <w:r>
        <w:rPr>
          <w:bCs/>
          <w:sz w:val="20"/>
        </w:rPr>
        <w:t>m SA3 [</w:t>
      </w:r>
      <w:r w:rsidR="00A74DD2">
        <w:rPr>
          <w:bCs/>
          <w:sz w:val="20"/>
        </w:rPr>
        <w:t>4</w:t>
      </w:r>
      <w:r>
        <w:rPr>
          <w:bCs/>
          <w:sz w:val="20"/>
        </w:rPr>
        <w:t>] indicates the NCC can be transmitted to the UE in plaintext via MAC CE message, as follows:</w:t>
      </w:r>
    </w:p>
    <w:tbl>
      <w:tblPr>
        <w:tblStyle w:val="110"/>
        <w:tblW w:w="9629" w:type="dxa"/>
        <w:tblLayout w:type="fixed"/>
        <w:tblLook w:val="04A0" w:firstRow="1" w:lastRow="0" w:firstColumn="1" w:lastColumn="0" w:noHBand="0" w:noVBand="1"/>
      </w:tblPr>
      <w:tblGrid>
        <w:gridCol w:w="9629"/>
      </w:tblGrid>
      <w:tr w:rsidR="006111B6" w14:paraId="045642F0" w14:textId="77777777">
        <w:tc>
          <w:tcPr>
            <w:tcW w:w="9629" w:type="dxa"/>
          </w:tcPr>
          <w:p w14:paraId="10CC0B63" w14:textId="77777777" w:rsidR="006111B6" w:rsidRDefault="006E7348">
            <w:pPr>
              <w:spacing w:after="180" w:line="240" w:lineRule="auto"/>
              <w:rPr>
                <w:rFonts w:ascii="Arial" w:eastAsia="Malgun Gothic" w:hAnsi="Arial" w:cs="Arial"/>
                <w:sz w:val="20"/>
                <w:lang w:eastAsia="en-GB"/>
              </w:rPr>
            </w:pPr>
            <w:r>
              <w:rPr>
                <w:rFonts w:ascii="Arial" w:eastAsia="Malgun Gothic" w:hAnsi="Arial" w:cs="Arial"/>
                <w:sz w:val="20"/>
                <w:lang w:eastAsia="en-GB"/>
              </w:rPr>
              <w:t>SA3 thanks RAN2 for the LS on the security handling for inter-CU LTM in non-DC cases.</w:t>
            </w:r>
          </w:p>
          <w:p w14:paraId="7EDD9C11" w14:textId="77777777" w:rsidR="006111B6" w:rsidRDefault="006E7348">
            <w:pPr>
              <w:spacing w:after="180" w:line="240" w:lineRule="auto"/>
              <w:rPr>
                <w:rFonts w:ascii="Arial" w:eastAsia="Malgun Gothic" w:hAnsi="Arial" w:cs="Arial"/>
                <w:sz w:val="20"/>
                <w:lang w:eastAsia="en-GB"/>
              </w:rPr>
            </w:pPr>
            <w:r>
              <w:rPr>
                <w:rFonts w:ascii="Arial" w:eastAsia="Malgun Gothic" w:hAnsi="Arial" w:cs="Arial"/>
                <w:sz w:val="20"/>
                <w:lang w:eastAsia="en-GB"/>
              </w:rPr>
              <w:t xml:space="preserve">Considering the RAN2’s request on avoiding RRC configuration between cell switches for subsequent inter-CU LTM in solution selection, </w:t>
            </w:r>
            <w:r>
              <w:rPr>
                <w:rFonts w:ascii="Arial" w:eastAsia="Malgun Gothic" w:hAnsi="Arial" w:cs="Arial"/>
                <w:sz w:val="20"/>
                <w:highlight w:val="yellow"/>
                <w:lang w:eastAsia="en-GB"/>
              </w:rPr>
              <w:t>SA3 reached a compromise that the NCC can be transmitted to the UE in plaintext via MAC CE message,</w:t>
            </w:r>
            <w:r>
              <w:rPr>
                <w:rFonts w:ascii="Arial" w:eastAsia="Malgun Gothic" w:hAnsi="Arial" w:cs="Arial"/>
                <w:sz w:val="20"/>
                <w:lang w:eastAsia="en-GB"/>
              </w:rPr>
              <w:t xml:space="preserve"> even though the unprotected MAC leads to increased attack scenarios and probability of handover failure.</w:t>
            </w:r>
          </w:p>
          <w:p w14:paraId="16B946D8" w14:textId="77777777" w:rsidR="006111B6" w:rsidRDefault="006E7348">
            <w:pPr>
              <w:spacing w:after="180" w:line="240" w:lineRule="auto"/>
              <w:rPr>
                <w:rFonts w:ascii="Arial" w:eastAsia="Malgun Gothic" w:hAnsi="Arial" w:cs="Arial"/>
                <w:sz w:val="20"/>
                <w:lang w:eastAsia="en-GB"/>
              </w:rPr>
            </w:pPr>
            <w:r>
              <w:rPr>
                <w:rFonts w:ascii="Arial" w:eastAsia="Malgun Gothic" w:hAnsi="Arial" w:cs="Arial"/>
                <w:sz w:val="20"/>
                <w:lang w:eastAsia="en-GB"/>
              </w:rPr>
              <w:t xml:space="preserve">In addition, SA3 will not consider the </w:t>
            </w:r>
            <w:bookmarkStart w:id="3" w:name="OLE_LINK4"/>
            <w:r>
              <w:rPr>
                <w:rFonts w:ascii="Arial" w:eastAsia="Malgun Gothic" w:hAnsi="Arial" w:cs="Arial"/>
                <w:sz w:val="20"/>
                <w:lang w:eastAsia="en-GB"/>
              </w:rPr>
              <w:t>protection</w:t>
            </w:r>
            <w:bookmarkEnd w:id="3"/>
            <w:r>
              <w:rPr>
                <w:rFonts w:ascii="Arial" w:eastAsia="Malgun Gothic" w:hAnsi="Arial" w:cs="Arial"/>
                <w:sz w:val="20"/>
                <w:lang w:eastAsia="en-GB"/>
              </w:rPr>
              <w:t xml:space="preserve"> of MAC CE messages in this release, but may consider studying MAC CE protection in the future.</w:t>
            </w:r>
          </w:p>
          <w:p w14:paraId="5CDF79F3" w14:textId="77777777" w:rsidR="006111B6" w:rsidRDefault="006E7348">
            <w:pPr>
              <w:spacing w:after="180" w:line="240" w:lineRule="auto"/>
              <w:rPr>
                <w:rFonts w:ascii="Arial" w:eastAsia="Malgun Gothic" w:hAnsi="Arial" w:cs="Arial"/>
                <w:sz w:val="20"/>
                <w:lang w:eastAsia="en-GB"/>
              </w:rPr>
            </w:pPr>
            <w:r>
              <w:rPr>
                <w:rFonts w:ascii="Arial" w:eastAsia="Malgun Gothic" w:hAnsi="Arial" w:cs="Arial"/>
                <w:sz w:val="20"/>
                <w:lang w:eastAsia="en-GB"/>
              </w:rPr>
              <w:t xml:space="preserve">The details on key distribution between the source </w:t>
            </w:r>
            <w:proofErr w:type="spellStart"/>
            <w:r>
              <w:rPr>
                <w:rFonts w:ascii="Arial" w:eastAsia="Malgun Gothic" w:hAnsi="Arial" w:cs="Arial"/>
                <w:sz w:val="20"/>
                <w:lang w:eastAsia="en-GB"/>
              </w:rPr>
              <w:t>gNB</w:t>
            </w:r>
            <w:proofErr w:type="spellEnd"/>
            <w:r>
              <w:rPr>
                <w:rFonts w:ascii="Arial" w:eastAsia="Malgun Gothic" w:hAnsi="Arial" w:cs="Arial"/>
                <w:sz w:val="20"/>
                <w:lang w:eastAsia="en-GB"/>
              </w:rPr>
              <w:t xml:space="preserve"> and the target </w:t>
            </w:r>
            <w:proofErr w:type="spellStart"/>
            <w:r>
              <w:rPr>
                <w:rFonts w:ascii="Arial" w:eastAsia="Malgun Gothic" w:hAnsi="Arial" w:cs="Arial"/>
                <w:sz w:val="20"/>
                <w:lang w:eastAsia="en-GB"/>
              </w:rPr>
              <w:t>gNB</w:t>
            </w:r>
            <w:proofErr w:type="spellEnd"/>
            <w:r>
              <w:rPr>
                <w:rFonts w:ascii="Arial" w:eastAsia="Malgun Gothic" w:hAnsi="Arial" w:cs="Arial"/>
                <w:sz w:val="20"/>
                <w:lang w:eastAsia="en-GB"/>
              </w:rPr>
              <w:t xml:space="preserve"> are left to RAN3 to decide and inform SA3. RAN3 should consider the scenario where the serving </w:t>
            </w:r>
            <w:proofErr w:type="spellStart"/>
            <w:r>
              <w:rPr>
                <w:rFonts w:ascii="Arial" w:eastAsia="Malgun Gothic" w:hAnsi="Arial" w:cs="Arial"/>
                <w:sz w:val="20"/>
                <w:lang w:eastAsia="en-GB"/>
              </w:rPr>
              <w:t>gNB</w:t>
            </w:r>
            <w:proofErr w:type="spellEnd"/>
            <w:r>
              <w:rPr>
                <w:rFonts w:ascii="Arial" w:eastAsia="Malgun Gothic" w:hAnsi="Arial" w:cs="Arial"/>
                <w:sz w:val="20"/>
                <w:lang w:eastAsia="en-GB"/>
              </w:rPr>
              <w:t xml:space="preserve"> utilizes the unused NH (if any is received from a path switch procedure at execution phase) to derive the KNG-RAN* for LTM handover.</w:t>
            </w:r>
          </w:p>
        </w:tc>
      </w:tr>
    </w:tbl>
    <w:p w14:paraId="7C5294A0" w14:textId="77777777" w:rsidR="006111B6" w:rsidRDefault="006111B6">
      <w:pPr>
        <w:rPr>
          <w:bCs/>
          <w:sz w:val="20"/>
        </w:rPr>
      </w:pPr>
    </w:p>
    <w:p w14:paraId="071CBB1C" w14:textId="49D7ADE8" w:rsidR="006111B6" w:rsidRDefault="006E7348">
      <w:pPr>
        <w:rPr>
          <w:bCs/>
          <w:sz w:val="20"/>
        </w:rPr>
      </w:pPr>
      <w:r>
        <w:rPr>
          <w:rFonts w:hint="eastAsia"/>
          <w:bCs/>
          <w:sz w:val="20"/>
        </w:rPr>
        <w:t>A</w:t>
      </w:r>
      <w:r>
        <w:rPr>
          <w:bCs/>
          <w:sz w:val="20"/>
        </w:rPr>
        <w:t>ccording to the LS from SA3</w:t>
      </w:r>
      <w:r w:rsidR="005935F2">
        <w:rPr>
          <w:bCs/>
          <w:sz w:val="20"/>
        </w:rPr>
        <w:t xml:space="preserve"> </w:t>
      </w:r>
      <w:r w:rsidR="00A74DD2">
        <w:rPr>
          <w:rFonts w:hint="eastAsia"/>
          <w:bCs/>
          <w:sz w:val="20"/>
        </w:rPr>
        <w:t>[</w:t>
      </w:r>
      <w:r w:rsidR="00A74DD2">
        <w:rPr>
          <w:bCs/>
          <w:sz w:val="20"/>
        </w:rPr>
        <w:t>4]</w:t>
      </w:r>
      <w:r>
        <w:rPr>
          <w:bCs/>
          <w:sz w:val="20"/>
        </w:rPr>
        <w:t>, Option 1A can be considered with</w:t>
      </w:r>
      <w:r>
        <w:rPr>
          <w:rFonts w:hint="eastAsia"/>
          <w:bCs/>
          <w:sz w:val="20"/>
        </w:rPr>
        <w:t>out</w:t>
      </w:r>
      <w:r>
        <w:rPr>
          <w:bCs/>
          <w:sz w:val="20"/>
        </w:rPr>
        <w:t xml:space="preserve"> protection. And, RAN2 can confirm the method for the sake of completing WI.</w:t>
      </w:r>
    </w:p>
    <w:p w14:paraId="7442D3BF" w14:textId="77777777" w:rsidR="006111B6" w:rsidRDefault="006E7348">
      <w:pPr>
        <w:spacing w:before="120"/>
        <w:rPr>
          <w:b/>
          <w:bCs/>
          <w:sz w:val="20"/>
        </w:rPr>
      </w:pPr>
      <w:bookmarkStart w:id="4" w:name="_Hlk194067784"/>
      <w:r>
        <w:rPr>
          <w:rFonts w:hint="eastAsia"/>
          <w:b/>
          <w:bCs/>
          <w:sz w:val="20"/>
        </w:rPr>
        <w:t>P</w:t>
      </w:r>
      <w:r>
        <w:rPr>
          <w:b/>
          <w:bCs/>
          <w:sz w:val="20"/>
        </w:rPr>
        <w:t>roposal 1: RAN2 confirms the NCC value to be used at inter-CU LTM execution is included in the LTM cell switch command MAC CE.</w:t>
      </w:r>
    </w:p>
    <w:bookmarkEnd w:id="4"/>
    <w:p w14:paraId="42C23787" w14:textId="77777777" w:rsidR="006111B6" w:rsidRDefault="006111B6">
      <w:pPr>
        <w:spacing w:before="120"/>
        <w:rPr>
          <w:b/>
          <w:bCs/>
          <w:i/>
          <w:iCs/>
          <w:sz w:val="20"/>
          <w:u w:val="single"/>
        </w:rPr>
      </w:pPr>
    </w:p>
    <w:p w14:paraId="2FD91AAC" w14:textId="22DE29DC" w:rsidR="006111B6" w:rsidRDefault="006E7348">
      <w:pPr>
        <w:spacing w:before="120"/>
        <w:rPr>
          <w:b/>
          <w:bCs/>
          <w:i/>
          <w:iCs/>
          <w:sz w:val="20"/>
          <w:u w:val="single"/>
        </w:rPr>
      </w:pPr>
      <w:r>
        <w:rPr>
          <w:b/>
          <w:bCs/>
          <w:i/>
          <w:iCs/>
          <w:sz w:val="20"/>
          <w:u w:val="single"/>
        </w:rPr>
        <w:t>Whether to introduce a new MAC CE for inter-CU LTM CSC</w:t>
      </w:r>
    </w:p>
    <w:p w14:paraId="36E11027" w14:textId="60645523" w:rsidR="006111B6" w:rsidRDefault="006E7348">
      <w:pPr>
        <w:spacing w:before="120"/>
        <w:rPr>
          <w:sz w:val="20"/>
        </w:rPr>
      </w:pPr>
      <w:r>
        <w:rPr>
          <w:sz w:val="20"/>
        </w:rPr>
        <w:t>If P1 is agreed, the first open issue is</w:t>
      </w:r>
      <w:r>
        <w:t xml:space="preserve"> </w:t>
      </w:r>
      <w:r>
        <w:rPr>
          <w:sz w:val="20"/>
        </w:rPr>
        <w:t xml:space="preserve">whether to introduce a new MAC CE for inter-CU LTM CSC. </w:t>
      </w:r>
    </w:p>
    <w:tbl>
      <w:tblPr>
        <w:tblStyle w:val="TableGrid1"/>
        <w:tblW w:w="9629" w:type="dxa"/>
        <w:tblLayout w:type="fixed"/>
        <w:tblLook w:val="04A0" w:firstRow="1" w:lastRow="0" w:firstColumn="1" w:lastColumn="0" w:noHBand="0" w:noVBand="1"/>
      </w:tblPr>
      <w:tblGrid>
        <w:gridCol w:w="9629"/>
      </w:tblGrid>
      <w:tr w:rsidR="006111B6" w14:paraId="459E447B" w14:textId="77777777">
        <w:tc>
          <w:tcPr>
            <w:tcW w:w="9629" w:type="dxa"/>
          </w:tcPr>
          <w:p w14:paraId="5DA75957" w14:textId="77777777" w:rsidR="006111B6" w:rsidRDefault="006E7348">
            <w:pPr>
              <w:spacing w:before="120"/>
              <w:rPr>
                <w:b/>
                <w:bCs/>
                <w:i/>
                <w:iCs/>
                <w:sz w:val="20"/>
              </w:rPr>
            </w:pPr>
            <w:r>
              <w:rPr>
                <w:rFonts w:hint="eastAsia"/>
                <w:b/>
                <w:bCs/>
                <w:i/>
                <w:iCs/>
                <w:sz w:val="20"/>
              </w:rPr>
              <w:t>In</w:t>
            </w:r>
            <w:r>
              <w:rPr>
                <w:b/>
                <w:bCs/>
                <w:i/>
                <w:iCs/>
                <w:sz w:val="20"/>
              </w:rPr>
              <w:t xml:space="preserve"> 3GPP TS 38.321</w:t>
            </w:r>
          </w:p>
          <w:p w14:paraId="781B43C1" w14:textId="77777777" w:rsidR="006111B6" w:rsidRDefault="006E7348">
            <w:pPr>
              <w:keepNext/>
              <w:keepLines/>
              <w:spacing w:before="120" w:after="180" w:line="240" w:lineRule="auto"/>
              <w:jc w:val="left"/>
              <w:outlineLvl w:val="3"/>
              <w:rPr>
                <w:rFonts w:ascii="Arial" w:eastAsia="Times New Roman" w:hAnsi="Arial"/>
                <w:sz w:val="24"/>
                <w:lang w:eastAsia="ja-JP"/>
              </w:rPr>
            </w:pPr>
            <w:bookmarkStart w:id="5" w:name="_Toc178200738"/>
            <w:r>
              <w:rPr>
                <w:rFonts w:ascii="Arial" w:eastAsia="Times New Roman" w:hAnsi="Arial"/>
                <w:sz w:val="24"/>
                <w:lang w:eastAsia="ja-JP"/>
              </w:rPr>
              <w:t>6.1.3.75</w:t>
            </w:r>
            <w:r>
              <w:rPr>
                <w:rFonts w:ascii="Arial" w:eastAsia="Times New Roman" w:hAnsi="Arial"/>
                <w:sz w:val="24"/>
                <w:lang w:eastAsia="ja-JP"/>
              </w:rPr>
              <w:tab/>
              <w:t>LTM Cell Switch Command MAC CE</w:t>
            </w:r>
            <w:bookmarkEnd w:id="5"/>
          </w:p>
          <w:p w14:paraId="49034B8F" w14:textId="77777777" w:rsidR="006111B6" w:rsidRDefault="006E7348">
            <w:pPr>
              <w:spacing w:after="180" w:line="240" w:lineRule="auto"/>
              <w:jc w:val="left"/>
              <w:rPr>
                <w:rFonts w:eastAsia="Times New Roman"/>
                <w:sz w:val="20"/>
              </w:rPr>
            </w:pPr>
            <w:r>
              <w:rPr>
                <w:rFonts w:eastAsia="Times New Roman"/>
                <w:sz w:val="20"/>
              </w:rPr>
              <w:t xml:space="preserve">The </w:t>
            </w:r>
            <w:r>
              <w:rPr>
                <w:rFonts w:eastAsia="Times New Roman"/>
                <w:sz w:val="20"/>
                <w:lang w:eastAsia="ja-JP"/>
              </w:rPr>
              <w:t>LTM Cell Switch Command MAC CE</w:t>
            </w:r>
            <w:r>
              <w:rPr>
                <w:rFonts w:eastAsia="Times New Roman"/>
                <w:sz w:val="20"/>
              </w:rPr>
              <w:t xml:space="preserve"> is identified by MAC </w:t>
            </w:r>
            <w:proofErr w:type="spellStart"/>
            <w:r>
              <w:rPr>
                <w:rFonts w:eastAsia="Times New Roman"/>
                <w:sz w:val="20"/>
              </w:rPr>
              <w:t>subheader</w:t>
            </w:r>
            <w:proofErr w:type="spellEnd"/>
            <w:r>
              <w:rPr>
                <w:rFonts w:eastAsia="Times New Roman"/>
                <w:sz w:val="20"/>
              </w:rPr>
              <w:t xml:space="preserve"> with </w:t>
            </w:r>
            <w:proofErr w:type="spellStart"/>
            <w:r>
              <w:rPr>
                <w:rFonts w:eastAsia="Times New Roman"/>
                <w:sz w:val="20"/>
              </w:rPr>
              <w:t>eLCID</w:t>
            </w:r>
            <w:proofErr w:type="spellEnd"/>
            <w:r>
              <w:rPr>
                <w:rFonts w:eastAsia="Times New Roman"/>
                <w:sz w:val="20"/>
              </w:rPr>
              <w:t xml:space="preserve"> as specified in Table 6.2.1-1b. It has a variable size with following fields (</w:t>
            </w:r>
            <w:r>
              <w:rPr>
                <w:rFonts w:eastAsia="Times New Roman"/>
                <w:sz w:val="20"/>
                <w:lang w:eastAsia="ko-KR"/>
              </w:rPr>
              <w:t>Figure 6.1.3.75-1)</w:t>
            </w:r>
            <w:r>
              <w:rPr>
                <w:rFonts w:eastAsia="Times New Roman"/>
                <w:sz w:val="20"/>
              </w:rPr>
              <w:t>:</w:t>
            </w:r>
          </w:p>
          <w:p w14:paraId="1E767DF3" w14:textId="77777777" w:rsidR="006111B6" w:rsidRDefault="006E7348">
            <w:pPr>
              <w:spacing w:after="180" w:line="240" w:lineRule="auto"/>
              <w:ind w:left="568" w:hanging="284"/>
              <w:jc w:val="left"/>
              <w:rPr>
                <w:sz w:val="20"/>
              </w:rPr>
            </w:pPr>
            <w:r>
              <w:rPr>
                <w:sz w:val="20"/>
              </w:rPr>
              <w:t>-</w:t>
            </w:r>
            <w:r>
              <w:rPr>
                <w:sz w:val="20"/>
              </w:rPr>
              <w:tab/>
              <w:t>R: Reserved bit, set to 0;</w:t>
            </w:r>
          </w:p>
          <w:p w14:paraId="42CA9451" w14:textId="77777777" w:rsidR="006111B6" w:rsidRDefault="006E7348">
            <w:pPr>
              <w:spacing w:after="180" w:line="240" w:lineRule="auto"/>
              <w:ind w:left="568" w:hanging="284"/>
              <w:jc w:val="left"/>
              <w:rPr>
                <w:rFonts w:eastAsiaTheme="minorEastAsia"/>
                <w:sz w:val="20"/>
              </w:rPr>
            </w:pPr>
            <w:r>
              <w:rPr>
                <w:rFonts w:eastAsiaTheme="minorEastAsia"/>
                <w:sz w:val="20"/>
              </w:rPr>
              <w:t>……</w:t>
            </w:r>
          </w:p>
          <w:p w14:paraId="70A8B460" w14:textId="77777777" w:rsidR="006111B6" w:rsidRDefault="006E7348">
            <w:pPr>
              <w:spacing w:after="180" w:line="240" w:lineRule="auto"/>
              <w:ind w:left="568" w:hanging="284"/>
              <w:jc w:val="left"/>
              <w:rPr>
                <w:rFonts w:eastAsia="Times New Roman"/>
                <w:sz w:val="20"/>
                <w:lang w:eastAsia="fr-FR"/>
              </w:rPr>
            </w:pPr>
            <w:r>
              <w:rPr>
                <w:rFonts w:eastAsia="Times New Roman"/>
                <w:sz w:val="20"/>
                <w:lang w:eastAsia="fr-FR"/>
              </w:rPr>
              <w:t>-</w:t>
            </w:r>
            <w:r>
              <w:rPr>
                <w:rFonts w:eastAsia="Times New Roman"/>
                <w:sz w:val="20"/>
                <w:lang w:eastAsia="fr-FR"/>
              </w:rPr>
              <w:tab/>
              <w:t xml:space="preserve">TCI state ID: This field indicates and activates the TCI state </w:t>
            </w:r>
            <w:r>
              <w:rPr>
                <w:rFonts w:eastAsia="Times New Roman"/>
                <w:sz w:val="20"/>
                <w:lang w:eastAsia="ja-JP"/>
              </w:rPr>
              <w:t>for the LTM target cell (</w:t>
            </w:r>
            <w:proofErr w:type="gramStart"/>
            <w:r>
              <w:rPr>
                <w:rFonts w:eastAsia="Times New Roman"/>
                <w:sz w:val="20"/>
                <w:lang w:eastAsia="ja-JP"/>
              </w:rPr>
              <w:t>i.e.</w:t>
            </w:r>
            <w:proofErr w:type="gramEnd"/>
            <w:r>
              <w:rPr>
                <w:rFonts w:eastAsia="Times New Roman"/>
                <w:sz w:val="20"/>
                <w:lang w:eastAsia="ja-JP"/>
              </w:rPr>
              <w:t xml:space="preserve"> the </w:t>
            </w:r>
            <w:proofErr w:type="spellStart"/>
            <w:r>
              <w:rPr>
                <w:rFonts w:eastAsia="Times New Roman"/>
                <w:sz w:val="20"/>
                <w:lang w:eastAsia="ja-JP"/>
              </w:rPr>
              <w:t>SpCell</w:t>
            </w:r>
            <w:proofErr w:type="spellEnd"/>
            <w:r>
              <w:rPr>
                <w:rFonts w:eastAsia="Times New Roman"/>
                <w:sz w:val="20"/>
                <w:lang w:eastAsia="ja-JP"/>
              </w:rPr>
              <w:t xml:space="preserve"> of the target configuration indicated by the Target Configuration ID field). </w:t>
            </w:r>
            <w:r>
              <w:rPr>
                <w:rFonts w:eastAsia="Times New Roman"/>
                <w:sz w:val="20"/>
                <w:lang w:eastAsia="fr-FR"/>
              </w:rPr>
              <w:t xml:space="preserve">The TCI state is identified by </w:t>
            </w:r>
            <w:r>
              <w:rPr>
                <w:rFonts w:eastAsia="Times New Roman"/>
                <w:i/>
                <w:iCs/>
                <w:sz w:val="20"/>
                <w:lang w:eastAsia="fr-FR"/>
              </w:rPr>
              <w:t>TCI-</w:t>
            </w:r>
            <w:proofErr w:type="spellStart"/>
            <w:r>
              <w:rPr>
                <w:rFonts w:eastAsia="Times New Roman"/>
                <w:i/>
                <w:iCs/>
                <w:sz w:val="20"/>
                <w:lang w:eastAsia="fr-FR"/>
              </w:rPr>
              <w:t>StateId</w:t>
            </w:r>
            <w:proofErr w:type="spellEnd"/>
            <w:r>
              <w:rPr>
                <w:rFonts w:eastAsia="Times New Roman"/>
                <w:sz w:val="20"/>
                <w:lang w:eastAsia="fr-FR"/>
              </w:rPr>
              <w:t xml:space="preserve"> in </w:t>
            </w:r>
            <w:proofErr w:type="spellStart"/>
            <w:r>
              <w:rPr>
                <w:rFonts w:eastAsia="Times New Roman"/>
                <w:i/>
                <w:sz w:val="20"/>
                <w:lang w:eastAsia="fr-FR"/>
              </w:rPr>
              <w:t>ltm</w:t>
            </w:r>
            <w:proofErr w:type="spellEnd"/>
            <w:r>
              <w:rPr>
                <w:rFonts w:eastAsia="Times New Roman"/>
                <w:i/>
                <w:sz w:val="20"/>
                <w:lang w:eastAsia="fr-FR"/>
              </w:rPr>
              <w:t>-DL-</w:t>
            </w:r>
            <w:proofErr w:type="spellStart"/>
            <w:r>
              <w:rPr>
                <w:rFonts w:eastAsia="Times New Roman"/>
                <w:i/>
                <w:sz w:val="20"/>
                <w:lang w:eastAsia="fr-FR"/>
              </w:rPr>
              <w:t>OrJointTCI</w:t>
            </w:r>
            <w:proofErr w:type="spellEnd"/>
            <w:r>
              <w:rPr>
                <w:rFonts w:eastAsia="Times New Roman"/>
                <w:i/>
                <w:sz w:val="20"/>
                <w:lang w:eastAsia="fr-FR"/>
              </w:rPr>
              <w:t>-</w:t>
            </w:r>
            <w:proofErr w:type="spellStart"/>
            <w:r>
              <w:rPr>
                <w:rFonts w:eastAsia="Times New Roman"/>
                <w:i/>
                <w:sz w:val="20"/>
                <w:lang w:eastAsia="fr-FR"/>
              </w:rPr>
              <w:t>StateToAddModList</w:t>
            </w:r>
            <w:proofErr w:type="spellEnd"/>
            <w:r>
              <w:rPr>
                <w:rFonts w:eastAsia="Times New Roman"/>
                <w:sz w:val="20"/>
                <w:lang w:eastAsia="fr-FR"/>
              </w:rPr>
              <w:t xml:space="preserve"> as specified in</w:t>
            </w:r>
            <w:r>
              <w:rPr>
                <w:rFonts w:eastAsia="Times New Roman"/>
                <w:sz w:val="20"/>
                <w:lang w:eastAsia="ja-JP"/>
              </w:rPr>
              <w:t xml:space="preserve"> </w:t>
            </w:r>
            <w:r>
              <w:rPr>
                <w:rFonts w:eastAsia="Times New Roman"/>
                <w:sz w:val="20"/>
                <w:lang w:eastAsia="fr-FR"/>
              </w:rPr>
              <w:t>TS 38.331 [5]. I</w:t>
            </w:r>
            <w:r>
              <w:rPr>
                <w:rFonts w:eastAsia="Times New Roman"/>
                <w:sz w:val="20"/>
                <w:lang w:eastAsia="fr-FR" w:bidi="ar"/>
              </w:rPr>
              <w:t xml:space="preserve">f the value of </w:t>
            </w:r>
            <w:proofErr w:type="spellStart"/>
            <w:r>
              <w:rPr>
                <w:rFonts w:eastAsia="Times New Roman"/>
                <w:i/>
                <w:sz w:val="20"/>
                <w:lang w:eastAsia="fr-FR" w:bidi="ar"/>
              </w:rPr>
              <w:t>unifiedTCI-StateType</w:t>
            </w:r>
            <w:proofErr w:type="spellEnd"/>
            <w:r>
              <w:rPr>
                <w:rFonts w:eastAsia="Times New Roman"/>
                <w:i/>
                <w:sz w:val="20"/>
                <w:lang w:eastAsia="fr-FR" w:bidi="ar"/>
              </w:rPr>
              <w:t xml:space="preserve"> </w:t>
            </w:r>
            <w:r>
              <w:rPr>
                <w:rFonts w:eastAsia="Times New Roman"/>
                <w:sz w:val="20"/>
                <w:lang w:eastAsia="fr-FR" w:bidi="ar"/>
              </w:rPr>
              <w:lastRenderedPageBreak/>
              <w:t xml:space="preserve">in </w:t>
            </w:r>
            <w:r>
              <w:rPr>
                <w:rFonts w:eastAsia="Times New Roman"/>
                <w:sz w:val="20"/>
                <w:lang w:eastAsia="ja-JP"/>
              </w:rPr>
              <w:t xml:space="preserve">the </w:t>
            </w:r>
            <w:proofErr w:type="spellStart"/>
            <w:r>
              <w:rPr>
                <w:rFonts w:eastAsia="Times New Roman"/>
                <w:i/>
                <w:iCs/>
                <w:sz w:val="20"/>
                <w:lang w:eastAsia="ja-JP"/>
              </w:rPr>
              <w:t>ltm</w:t>
            </w:r>
            <w:proofErr w:type="spellEnd"/>
            <w:r>
              <w:rPr>
                <w:rFonts w:eastAsia="Times New Roman"/>
                <w:i/>
                <w:iCs/>
                <w:sz w:val="20"/>
                <w:lang w:eastAsia="ja-JP"/>
              </w:rPr>
              <w:t>-TCI-Info</w:t>
            </w:r>
            <w:r>
              <w:rPr>
                <w:rFonts w:eastAsia="Times New Roman"/>
                <w:sz w:val="20"/>
                <w:lang w:eastAsia="ja-JP"/>
              </w:rPr>
              <w:t xml:space="preserve"> of the configuration indicated by Target Configuration ID field</w:t>
            </w:r>
            <w:r>
              <w:rPr>
                <w:rFonts w:eastAsia="Times New Roman"/>
                <w:sz w:val="20"/>
                <w:vertAlign w:val="subscript"/>
                <w:lang w:eastAsia="fr-FR" w:bidi="ar"/>
              </w:rPr>
              <w:t xml:space="preserve"> </w:t>
            </w:r>
            <w:r>
              <w:rPr>
                <w:rFonts w:eastAsia="Times New Roman"/>
                <w:sz w:val="20"/>
                <w:lang w:eastAsia="fr-FR" w:bidi="ar"/>
              </w:rPr>
              <w:t xml:space="preserve">is </w:t>
            </w:r>
            <w:r>
              <w:rPr>
                <w:rFonts w:eastAsia="Times New Roman"/>
                <w:i/>
                <w:sz w:val="20"/>
                <w:lang w:eastAsia="fr-FR" w:bidi="ar"/>
              </w:rPr>
              <w:t>joint</w:t>
            </w:r>
            <w:r>
              <w:rPr>
                <w:rFonts w:eastAsia="Times New Roman"/>
                <w:sz w:val="20"/>
                <w:lang w:eastAsia="fr-FR"/>
              </w:rPr>
              <w:t xml:space="preserve">, this field is for joint TCI state, otherwise, this field is for downlink TCI state. </w:t>
            </w:r>
            <w:r>
              <w:rPr>
                <w:rFonts w:eastAsia="Times New Roman"/>
                <w:sz w:val="20"/>
                <w:lang w:eastAsia="ja-JP"/>
              </w:rPr>
              <w:t xml:space="preserve">The length of the field is </w:t>
            </w:r>
            <w:r>
              <w:rPr>
                <w:rFonts w:eastAsia="Times New Roman"/>
                <w:sz w:val="20"/>
                <w:lang w:eastAsia="ko-KR"/>
              </w:rPr>
              <w:t>7</w:t>
            </w:r>
            <w:r>
              <w:rPr>
                <w:rFonts w:eastAsia="Times New Roman"/>
                <w:sz w:val="20"/>
                <w:lang w:eastAsia="ja-JP"/>
              </w:rPr>
              <w:t xml:space="preserve"> bits;</w:t>
            </w:r>
          </w:p>
          <w:p w14:paraId="131CB59F" w14:textId="77777777" w:rsidR="006111B6" w:rsidRDefault="006E7348">
            <w:pPr>
              <w:spacing w:after="180" w:line="240" w:lineRule="auto"/>
              <w:ind w:left="568" w:hanging="284"/>
              <w:jc w:val="left"/>
              <w:rPr>
                <w:rFonts w:eastAsia="Times New Roman"/>
                <w:sz w:val="20"/>
                <w:lang w:eastAsia="fr-FR"/>
              </w:rPr>
            </w:pPr>
            <w:r>
              <w:rPr>
                <w:rFonts w:eastAsia="Times New Roman"/>
                <w:sz w:val="20"/>
                <w:lang w:eastAsia="fr-FR"/>
              </w:rPr>
              <w:t>-</w:t>
            </w:r>
            <w:r>
              <w:rPr>
                <w:rFonts w:eastAsia="Times New Roman"/>
                <w:sz w:val="20"/>
                <w:lang w:eastAsia="fr-FR"/>
              </w:rPr>
              <w:tab/>
              <w:t xml:space="preserve">UL TCI state ID: This field indicates and activates the uplink TCI state </w:t>
            </w:r>
            <w:r>
              <w:rPr>
                <w:rFonts w:eastAsia="Times New Roman"/>
                <w:sz w:val="20"/>
                <w:lang w:eastAsia="ja-JP"/>
              </w:rPr>
              <w:t>for the LTM target cell (</w:t>
            </w:r>
            <w:proofErr w:type="gramStart"/>
            <w:r>
              <w:rPr>
                <w:rFonts w:eastAsia="Times New Roman"/>
                <w:sz w:val="20"/>
                <w:lang w:eastAsia="ja-JP"/>
              </w:rPr>
              <w:t>i.e.</w:t>
            </w:r>
            <w:proofErr w:type="gramEnd"/>
            <w:r>
              <w:rPr>
                <w:rFonts w:eastAsia="Times New Roman"/>
                <w:sz w:val="20"/>
                <w:lang w:eastAsia="ja-JP"/>
              </w:rPr>
              <w:t xml:space="preserve"> the </w:t>
            </w:r>
            <w:proofErr w:type="spellStart"/>
            <w:r>
              <w:rPr>
                <w:rFonts w:eastAsia="Times New Roman"/>
                <w:sz w:val="20"/>
                <w:lang w:eastAsia="ja-JP"/>
              </w:rPr>
              <w:t>SpCell</w:t>
            </w:r>
            <w:proofErr w:type="spellEnd"/>
            <w:r>
              <w:rPr>
                <w:rFonts w:eastAsia="Times New Roman"/>
                <w:sz w:val="20"/>
                <w:lang w:eastAsia="ja-JP"/>
              </w:rPr>
              <w:t xml:space="preserve"> of the target configuration indicated by the Target Configuration ID field). T</w:t>
            </w:r>
            <w:r>
              <w:rPr>
                <w:rFonts w:eastAsia="Times New Roman"/>
                <w:sz w:val="20"/>
                <w:lang w:eastAsia="fr-FR"/>
              </w:rPr>
              <w:t xml:space="preserve">he UL TCI state is identified by </w:t>
            </w:r>
            <w:r>
              <w:rPr>
                <w:rFonts w:eastAsia="Times New Roman"/>
                <w:i/>
                <w:iCs/>
                <w:sz w:val="20"/>
                <w:lang w:eastAsia="fr-FR"/>
              </w:rPr>
              <w:t>TCI-UL-</w:t>
            </w:r>
            <w:proofErr w:type="spellStart"/>
            <w:r>
              <w:rPr>
                <w:rFonts w:eastAsia="Times New Roman"/>
                <w:i/>
                <w:iCs/>
                <w:sz w:val="20"/>
                <w:lang w:eastAsia="fr-FR"/>
              </w:rPr>
              <w:t>StateId</w:t>
            </w:r>
            <w:proofErr w:type="spellEnd"/>
            <w:r>
              <w:rPr>
                <w:rFonts w:eastAsia="Times New Roman"/>
                <w:sz w:val="20"/>
                <w:lang w:eastAsia="fr-FR"/>
              </w:rPr>
              <w:t xml:space="preserve"> in </w:t>
            </w:r>
            <w:proofErr w:type="spellStart"/>
            <w:r>
              <w:rPr>
                <w:rFonts w:eastAsia="Times New Roman"/>
                <w:i/>
                <w:sz w:val="20"/>
                <w:lang w:eastAsia="fr-FR"/>
              </w:rPr>
              <w:t>ltm</w:t>
            </w:r>
            <w:proofErr w:type="spellEnd"/>
            <w:r>
              <w:rPr>
                <w:rFonts w:eastAsia="Times New Roman"/>
                <w:i/>
                <w:sz w:val="20"/>
                <w:lang w:eastAsia="fr-FR"/>
              </w:rPr>
              <w:t>-UL-TCI-</w:t>
            </w:r>
            <w:proofErr w:type="spellStart"/>
            <w:r>
              <w:rPr>
                <w:rFonts w:eastAsia="Times New Roman"/>
                <w:i/>
                <w:sz w:val="20"/>
                <w:lang w:eastAsia="fr-FR"/>
              </w:rPr>
              <w:t>StateToAddModList</w:t>
            </w:r>
            <w:proofErr w:type="spellEnd"/>
            <w:r>
              <w:rPr>
                <w:rFonts w:eastAsia="Times New Roman"/>
                <w:sz w:val="20"/>
                <w:lang w:eastAsia="fr-FR"/>
              </w:rPr>
              <w:t xml:space="preserve"> as specified in TS 38.331 [5]. </w:t>
            </w:r>
            <w:r>
              <w:rPr>
                <w:rFonts w:eastAsia="Times New Roman"/>
                <w:sz w:val="20"/>
                <w:highlight w:val="green"/>
                <w:lang w:eastAsia="fr-FR"/>
              </w:rPr>
              <w:t>The octet containing this field</w:t>
            </w:r>
            <w:r>
              <w:rPr>
                <w:rFonts w:eastAsia="Times New Roman"/>
                <w:sz w:val="20"/>
                <w:lang w:eastAsia="fr-FR"/>
              </w:rPr>
              <w:t xml:space="preserve"> (</w:t>
            </w:r>
            <w:proofErr w:type="gramStart"/>
            <w:r>
              <w:rPr>
                <w:rFonts w:eastAsia="Times New Roman"/>
                <w:sz w:val="20"/>
                <w:lang w:eastAsia="fr-FR"/>
              </w:rPr>
              <w:t>i.e.</w:t>
            </w:r>
            <w:proofErr w:type="gramEnd"/>
            <w:r>
              <w:rPr>
                <w:rFonts w:eastAsia="Times New Roman"/>
                <w:sz w:val="20"/>
                <w:lang w:eastAsia="fr-FR"/>
              </w:rPr>
              <w:t xml:space="preserve"> this field and the</w:t>
            </w:r>
            <w:r>
              <w:rPr>
                <w:rFonts w:eastAsia="Times New Roman"/>
                <w:sz w:val="20"/>
                <w:highlight w:val="green"/>
                <w:lang w:eastAsia="fr-FR"/>
              </w:rPr>
              <w:t xml:space="preserve"> two reserved bits in the same octet</w:t>
            </w:r>
            <w:r>
              <w:rPr>
                <w:rFonts w:eastAsia="Times New Roman"/>
                <w:sz w:val="20"/>
                <w:lang w:eastAsia="fr-FR"/>
              </w:rPr>
              <w:t xml:space="preserve">) is included </w:t>
            </w:r>
            <w:r>
              <w:rPr>
                <w:rFonts w:eastAsia="Times New Roman"/>
                <w:sz w:val="20"/>
                <w:highlight w:val="green"/>
                <w:lang w:eastAsia="fr-FR"/>
              </w:rPr>
              <w:t>i</w:t>
            </w:r>
            <w:r>
              <w:rPr>
                <w:rFonts w:eastAsia="Times New Roman"/>
                <w:sz w:val="20"/>
                <w:highlight w:val="green"/>
                <w:lang w:eastAsia="fr-FR" w:bidi="ar"/>
              </w:rPr>
              <w:t xml:space="preserve">f the value of </w:t>
            </w:r>
            <w:proofErr w:type="spellStart"/>
            <w:r>
              <w:rPr>
                <w:rFonts w:eastAsia="Times New Roman"/>
                <w:i/>
                <w:sz w:val="20"/>
                <w:highlight w:val="green"/>
                <w:lang w:eastAsia="fr-FR" w:bidi="ar"/>
              </w:rPr>
              <w:t>unifiedTCI-StateType</w:t>
            </w:r>
            <w:proofErr w:type="spellEnd"/>
            <w:r>
              <w:rPr>
                <w:rFonts w:eastAsia="Times New Roman"/>
                <w:i/>
                <w:sz w:val="20"/>
                <w:highlight w:val="green"/>
                <w:lang w:eastAsia="fr-FR" w:bidi="ar"/>
              </w:rPr>
              <w:t xml:space="preserve"> </w:t>
            </w:r>
            <w:r>
              <w:rPr>
                <w:rFonts w:eastAsia="Times New Roman"/>
                <w:sz w:val="20"/>
                <w:highlight w:val="green"/>
                <w:lang w:eastAsia="fr-FR" w:bidi="ar"/>
              </w:rPr>
              <w:t xml:space="preserve">in </w:t>
            </w:r>
            <w:r>
              <w:rPr>
                <w:rFonts w:eastAsia="Times New Roman"/>
                <w:sz w:val="20"/>
                <w:highlight w:val="green"/>
                <w:lang w:eastAsia="ja-JP"/>
              </w:rPr>
              <w:t xml:space="preserve">the </w:t>
            </w:r>
            <w:proofErr w:type="spellStart"/>
            <w:r>
              <w:rPr>
                <w:rFonts w:eastAsia="Times New Roman"/>
                <w:i/>
                <w:iCs/>
                <w:sz w:val="20"/>
                <w:highlight w:val="green"/>
                <w:lang w:eastAsia="ja-JP"/>
              </w:rPr>
              <w:t>ltm</w:t>
            </w:r>
            <w:proofErr w:type="spellEnd"/>
            <w:r>
              <w:rPr>
                <w:rFonts w:eastAsia="Times New Roman"/>
                <w:i/>
                <w:iCs/>
                <w:sz w:val="20"/>
                <w:highlight w:val="green"/>
                <w:lang w:eastAsia="ja-JP"/>
              </w:rPr>
              <w:t>-TCI-Info</w:t>
            </w:r>
            <w:r>
              <w:rPr>
                <w:rFonts w:eastAsia="Times New Roman"/>
                <w:sz w:val="20"/>
                <w:highlight w:val="green"/>
                <w:lang w:eastAsia="ja-JP"/>
              </w:rPr>
              <w:t xml:space="preserve"> of the configuration indicated by Target Configuration ID field</w:t>
            </w:r>
            <w:r>
              <w:rPr>
                <w:rFonts w:eastAsia="Times New Roman"/>
                <w:sz w:val="20"/>
                <w:highlight w:val="green"/>
                <w:vertAlign w:val="subscript"/>
                <w:lang w:eastAsia="fr-FR" w:bidi="ar"/>
              </w:rPr>
              <w:t xml:space="preserve"> </w:t>
            </w:r>
            <w:r>
              <w:rPr>
                <w:rFonts w:eastAsia="Times New Roman"/>
                <w:sz w:val="20"/>
                <w:highlight w:val="green"/>
                <w:lang w:eastAsia="fr-FR" w:bidi="ar"/>
              </w:rPr>
              <w:t xml:space="preserve">is </w:t>
            </w:r>
            <w:r>
              <w:rPr>
                <w:rFonts w:eastAsia="Times New Roman"/>
                <w:i/>
                <w:sz w:val="20"/>
                <w:highlight w:val="green"/>
                <w:lang w:eastAsia="fr-FR" w:bidi="ar"/>
              </w:rPr>
              <w:t>separate</w:t>
            </w:r>
            <w:r>
              <w:rPr>
                <w:rFonts w:eastAsia="Times New Roman"/>
                <w:sz w:val="20"/>
                <w:lang w:eastAsia="ja-JP"/>
              </w:rPr>
              <w:t xml:space="preserve">. The length of the field is </w:t>
            </w:r>
            <w:r>
              <w:rPr>
                <w:rFonts w:eastAsia="Times New Roman"/>
                <w:sz w:val="20"/>
                <w:lang w:eastAsia="ko-KR"/>
              </w:rPr>
              <w:t>6</w:t>
            </w:r>
            <w:r>
              <w:rPr>
                <w:rFonts w:eastAsia="Times New Roman"/>
                <w:sz w:val="20"/>
                <w:lang w:eastAsia="ja-JP"/>
              </w:rPr>
              <w:t xml:space="preserve"> bits;</w:t>
            </w:r>
          </w:p>
          <w:p w14:paraId="4F705A38" w14:textId="77777777" w:rsidR="006111B6" w:rsidRDefault="006E7348">
            <w:pPr>
              <w:spacing w:after="180" w:line="240" w:lineRule="auto"/>
              <w:ind w:left="568" w:hanging="284"/>
              <w:jc w:val="left"/>
              <w:rPr>
                <w:rFonts w:eastAsia="Times New Roman"/>
                <w:sz w:val="20"/>
                <w:lang w:eastAsia="fr-FR"/>
              </w:rPr>
            </w:pPr>
            <w:r>
              <w:rPr>
                <w:rFonts w:eastAsia="Times New Roman"/>
                <w:sz w:val="20"/>
                <w:lang w:eastAsia="fr-FR"/>
              </w:rPr>
              <w:t>-</w:t>
            </w:r>
            <w:r>
              <w:rPr>
                <w:rFonts w:eastAsia="Times New Roman"/>
                <w:sz w:val="20"/>
                <w:lang w:eastAsia="fr-FR"/>
              </w:rPr>
              <w:tab/>
              <w:t xml:space="preserve">C: </w:t>
            </w:r>
            <w:r>
              <w:rPr>
                <w:rFonts w:eastAsia="Times New Roman"/>
                <w:sz w:val="20"/>
                <w:highlight w:val="green"/>
                <w:lang w:eastAsia="fr-FR"/>
              </w:rPr>
              <w:t xml:space="preserve">This field indicates the presence of </w:t>
            </w:r>
            <w:r>
              <w:rPr>
                <w:rFonts w:eastAsia="Times New Roman"/>
                <w:sz w:val="20"/>
                <w:highlight w:val="green"/>
                <w:lang w:eastAsia="ja-JP"/>
              </w:rPr>
              <w:t xml:space="preserve">the </w:t>
            </w:r>
            <w:r>
              <w:rPr>
                <w:rFonts w:eastAsia="Times New Roman"/>
                <w:sz w:val="20"/>
                <w:highlight w:val="green"/>
                <w:lang w:eastAsia="ko-KR"/>
              </w:rPr>
              <w:t xml:space="preserve">contention-free Random Access Resources fields. If </w:t>
            </w:r>
            <w:r>
              <w:rPr>
                <w:rFonts w:eastAsia="Times New Roman"/>
                <w:sz w:val="20"/>
                <w:highlight w:val="green"/>
                <w:lang w:eastAsia="ja-JP"/>
              </w:rPr>
              <w:t>the value of this field is set to 1, the following fields are present:</w:t>
            </w:r>
            <w:r>
              <w:rPr>
                <w:rFonts w:eastAsia="Times New Roman"/>
                <w:sz w:val="20"/>
                <w:lang w:eastAsia="ja-JP"/>
              </w:rPr>
              <w:t xml:space="preserve"> Random Access Preamble index field, S/U field, SS/PBCH index field, PRACH Mask index</w:t>
            </w:r>
            <w:r>
              <w:rPr>
                <w:rFonts w:eastAsia="Times New Roman"/>
                <w:sz w:val="20"/>
                <w:lang w:eastAsia="ko-KR"/>
              </w:rPr>
              <w:t xml:space="preserve"> field, </w:t>
            </w:r>
            <w:r>
              <w:rPr>
                <w:rFonts w:eastAsia="等线"/>
                <w:sz w:val="20"/>
              </w:rPr>
              <w:t xml:space="preserve">Repetition number field and </w:t>
            </w:r>
            <w:r>
              <w:rPr>
                <w:rFonts w:eastAsia="等线"/>
                <w:sz w:val="20"/>
                <w:highlight w:val="green"/>
              </w:rPr>
              <w:t>the reserved bits in the same octet</w:t>
            </w:r>
            <w:r>
              <w:rPr>
                <w:rFonts w:eastAsia="Times New Roman"/>
                <w:sz w:val="20"/>
                <w:highlight w:val="green"/>
                <w:lang w:eastAsia="ko-KR"/>
              </w:rPr>
              <w:t>.</w:t>
            </w:r>
            <w:r>
              <w:rPr>
                <w:rFonts w:eastAsia="Times New Roman"/>
                <w:sz w:val="20"/>
                <w:lang w:eastAsia="ko-KR"/>
              </w:rPr>
              <w:t xml:space="preserve"> If </w:t>
            </w:r>
            <w:r>
              <w:rPr>
                <w:rFonts w:eastAsia="Times New Roman"/>
                <w:sz w:val="20"/>
                <w:lang w:eastAsia="ja-JP"/>
              </w:rPr>
              <w:t>the value of this field is set to 0, these fields are absent.</w:t>
            </w:r>
          </w:p>
          <w:p w14:paraId="2441FECC" w14:textId="77777777" w:rsidR="006111B6" w:rsidRDefault="006E7348">
            <w:pPr>
              <w:spacing w:after="180" w:line="240" w:lineRule="auto"/>
              <w:ind w:left="568" w:hanging="284"/>
              <w:jc w:val="left"/>
              <w:rPr>
                <w:rFonts w:eastAsiaTheme="minorEastAsia"/>
                <w:sz w:val="20"/>
              </w:rPr>
            </w:pPr>
            <w:r>
              <w:rPr>
                <w:rFonts w:eastAsiaTheme="minorEastAsia"/>
                <w:sz w:val="20"/>
              </w:rPr>
              <w:t>……</w:t>
            </w:r>
          </w:p>
          <w:p w14:paraId="12D89388" w14:textId="77777777" w:rsidR="006111B6" w:rsidRDefault="006111B6">
            <w:pPr>
              <w:keepLines/>
              <w:spacing w:after="180" w:line="240" w:lineRule="auto"/>
              <w:ind w:left="1135" w:hanging="851"/>
              <w:jc w:val="left"/>
              <w:rPr>
                <w:rFonts w:eastAsia="Times New Roman"/>
                <w:sz w:val="20"/>
                <w:lang w:eastAsia="ja-JP"/>
              </w:rPr>
            </w:pPr>
          </w:p>
          <w:p w14:paraId="19A07D75" w14:textId="77777777" w:rsidR="006111B6" w:rsidRDefault="006E7348">
            <w:pPr>
              <w:keepNext/>
              <w:keepLines/>
              <w:spacing w:before="60" w:after="180" w:line="240" w:lineRule="auto"/>
              <w:jc w:val="center"/>
              <w:rPr>
                <w:rFonts w:ascii="Arial" w:eastAsia="等线" w:hAnsi="Arial"/>
                <w:b/>
                <w:sz w:val="20"/>
              </w:rPr>
            </w:pPr>
            <w:r>
              <w:rPr>
                <w:rFonts w:ascii="Arial" w:eastAsia="Times New Roman" w:hAnsi="Arial"/>
                <w:b/>
                <w:sz w:val="20"/>
                <w:lang w:eastAsia="ja-JP"/>
              </w:rPr>
              <w:object w:dxaOrig="5721" w:dyaOrig="4453" w14:anchorId="46A30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222.55pt" o:ole="">
                  <v:imagedata r:id="rId8" o:title=""/>
                </v:shape>
                <o:OLEObject Type="Embed" ProgID="Visio.Drawing.15" ShapeID="_x0000_i1025" DrawAspect="Content" ObjectID="_1804681673" r:id="rId9"/>
              </w:object>
            </w:r>
          </w:p>
          <w:p w14:paraId="1E448490" w14:textId="77777777" w:rsidR="006111B6" w:rsidRDefault="006E7348">
            <w:pPr>
              <w:keepLines/>
              <w:spacing w:after="240" w:line="240" w:lineRule="auto"/>
              <w:jc w:val="center"/>
              <w:rPr>
                <w:rFonts w:ascii="Arial" w:eastAsia="Malgun Gothic" w:hAnsi="Arial"/>
                <w:b/>
                <w:sz w:val="20"/>
                <w:lang w:eastAsia="ko-KR"/>
              </w:rPr>
            </w:pPr>
            <w:r>
              <w:rPr>
                <w:rFonts w:ascii="Arial" w:eastAsia="Times New Roman" w:hAnsi="Arial"/>
                <w:b/>
                <w:sz w:val="20"/>
                <w:lang w:eastAsia="ko-KR"/>
              </w:rPr>
              <w:t xml:space="preserve">Figure 6.1.3.75-1: </w:t>
            </w:r>
            <w:r>
              <w:rPr>
                <w:rFonts w:ascii="Arial" w:eastAsia="Times New Roman" w:hAnsi="Arial"/>
                <w:b/>
                <w:sz w:val="20"/>
                <w:lang w:eastAsia="ja-JP"/>
              </w:rPr>
              <w:t>LTM Cell Switch Command MAC CE</w:t>
            </w:r>
          </w:p>
        </w:tc>
      </w:tr>
    </w:tbl>
    <w:p w14:paraId="63B5F70D" w14:textId="042313A2" w:rsidR="006111B6" w:rsidRDefault="006E7348">
      <w:pPr>
        <w:spacing w:before="120"/>
        <w:rPr>
          <w:sz w:val="20"/>
        </w:rPr>
      </w:pPr>
      <w:r>
        <w:rPr>
          <w:sz w:val="20"/>
        </w:rPr>
        <w:lastRenderedPageBreak/>
        <w:t xml:space="preserve">In 38.321, only one R bit in Oct 3 (highlighted in </w:t>
      </w:r>
      <w:r>
        <w:rPr>
          <w:rFonts w:hint="eastAsia"/>
          <w:sz w:val="20"/>
        </w:rPr>
        <w:t>red</w:t>
      </w:r>
      <w:r>
        <w:rPr>
          <w:sz w:val="20"/>
        </w:rPr>
        <w:t>) is always</w:t>
      </w:r>
      <w:r>
        <w:t xml:space="preserve"> </w:t>
      </w:r>
      <w:r>
        <w:rPr>
          <w:sz w:val="20"/>
        </w:rPr>
        <w:t>present in Rel-18 LTM CSC MAC CE</w:t>
      </w:r>
      <w:r>
        <w:rPr>
          <w:rFonts w:hint="eastAsia"/>
          <w:sz w:val="20"/>
        </w:rPr>
        <w:t>.</w:t>
      </w:r>
      <w:r>
        <w:rPr>
          <w:sz w:val="20"/>
        </w:rPr>
        <w:t xml:space="preserve"> Other R bits in Oct4 and Oct7 (highlighted in green) are absent under certain conditions:</w:t>
      </w:r>
    </w:p>
    <w:p w14:paraId="56D39BCB" w14:textId="77777777" w:rsidR="006111B6" w:rsidRDefault="006E7348">
      <w:pPr>
        <w:numPr>
          <w:ilvl w:val="0"/>
          <w:numId w:val="7"/>
        </w:numPr>
        <w:overflowPunct/>
        <w:autoSpaceDE/>
        <w:autoSpaceDN/>
        <w:adjustRightInd/>
        <w:spacing w:before="120" w:after="0" w:line="240" w:lineRule="auto"/>
        <w:jc w:val="left"/>
        <w:textAlignment w:val="auto"/>
        <w:rPr>
          <w:rFonts w:eastAsia="MS Gothic"/>
          <w:sz w:val="20"/>
          <w:szCs w:val="24"/>
          <w:lang w:eastAsia="en-US"/>
        </w:rPr>
      </w:pPr>
      <w:r>
        <w:rPr>
          <w:rFonts w:eastAsia="Times New Roman"/>
          <w:sz w:val="20"/>
          <w:szCs w:val="24"/>
          <w:lang w:eastAsia="fr-FR" w:bidi="ar"/>
        </w:rPr>
        <w:t xml:space="preserve">If the value of </w:t>
      </w:r>
      <w:r>
        <w:rPr>
          <w:rFonts w:eastAsia="Times New Roman"/>
          <w:i/>
          <w:sz w:val="20"/>
          <w:szCs w:val="24"/>
          <w:lang w:eastAsia="fr-FR" w:bidi="ar"/>
        </w:rPr>
        <w:t xml:space="preserve">unifiedTCI-StateType </w:t>
      </w:r>
      <w:r>
        <w:rPr>
          <w:rFonts w:eastAsia="Times New Roman"/>
          <w:sz w:val="20"/>
          <w:szCs w:val="24"/>
          <w:lang w:eastAsia="fr-FR" w:bidi="ar"/>
        </w:rPr>
        <w:t xml:space="preserve">in </w:t>
      </w:r>
      <w:r>
        <w:rPr>
          <w:rFonts w:eastAsia="Times New Roman"/>
          <w:sz w:val="20"/>
          <w:szCs w:val="24"/>
          <w:lang w:eastAsia="ja-JP"/>
        </w:rPr>
        <w:t xml:space="preserve">the </w:t>
      </w:r>
      <w:r>
        <w:rPr>
          <w:rFonts w:eastAsia="Times New Roman"/>
          <w:i/>
          <w:iCs/>
          <w:sz w:val="20"/>
          <w:szCs w:val="24"/>
          <w:lang w:eastAsia="ja-JP"/>
        </w:rPr>
        <w:t>ltm-TCI-Info</w:t>
      </w:r>
      <w:r>
        <w:rPr>
          <w:rFonts w:eastAsia="Times New Roman"/>
          <w:sz w:val="20"/>
          <w:szCs w:val="24"/>
          <w:lang w:eastAsia="ja-JP"/>
        </w:rPr>
        <w:t xml:space="preserve"> of the configuration indicated by Target Configuration ID field</w:t>
      </w:r>
      <w:r>
        <w:rPr>
          <w:rFonts w:eastAsia="Times New Roman"/>
          <w:sz w:val="20"/>
          <w:szCs w:val="24"/>
          <w:vertAlign w:val="subscript"/>
          <w:lang w:eastAsia="fr-FR" w:bidi="ar"/>
        </w:rPr>
        <w:t xml:space="preserve"> </w:t>
      </w:r>
      <w:r>
        <w:rPr>
          <w:rFonts w:eastAsia="Times New Roman"/>
          <w:sz w:val="20"/>
          <w:szCs w:val="24"/>
          <w:lang w:eastAsia="fr-FR" w:bidi="ar"/>
        </w:rPr>
        <w:t xml:space="preserve">is </w:t>
      </w:r>
      <w:r>
        <w:rPr>
          <w:rFonts w:eastAsia="Times New Roman"/>
          <w:i/>
          <w:sz w:val="20"/>
          <w:szCs w:val="24"/>
          <w:lang w:eastAsia="fr-FR" w:bidi="ar"/>
        </w:rPr>
        <w:t>joint</w:t>
      </w:r>
      <w:r>
        <w:rPr>
          <w:rFonts w:eastAsia="Times New Roman"/>
          <w:iCs/>
          <w:sz w:val="20"/>
          <w:szCs w:val="24"/>
          <w:lang w:eastAsia="fr-FR" w:bidi="ar"/>
        </w:rPr>
        <w:t>, the two reserved bits in Oct4 are absent.</w:t>
      </w:r>
    </w:p>
    <w:p w14:paraId="0F0C8E12" w14:textId="4F35D4A6" w:rsidR="006111B6" w:rsidRDefault="006E7348">
      <w:pPr>
        <w:numPr>
          <w:ilvl w:val="0"/>
          <w:numId w:val="7"/>
        </w:numPr>
        <w:overflowPunct/>
        <w:autoSpaceDE/>
        <w:autoSpaceDN/>
        <w:adjustRightInd/>
        <w:spacing w:before="120" w:after="0" w:line="240" w:lineRule="auto"/>
        <w:jc w:val="left"/>
        <w:textAlignment w:val="auto"/>
        <w:rPr>
          <w:rFonts w:eastAsia="MS Gothic"/>
          <w:sz w:val="20"/>
          <w:szCs w:val="24"/>
          <w:lang w:eastAsia="en-US"/>
        </w:rPr>
      </w:pPr>
      <w:r>
        <w:rPr>
          <w:rFonts w:eastAsia="MS Gothic"/>
          <w:sz w:val="20"/>
          <w:szCs w:val="24"/>
          <w:lang w:eastAsia="en-US"/>
        </w:rPr>
        <w:t>If the value of th</w:t>
      </w:r>
      <w:r w:rsidR="007439E2">
        <w:rPr>
          <w:rFonts w:eastAsia="MS Gothic"/>
          <w:sz w:val="20"/>
          <w:szCs w:val="24"/>
          <w:lang w:eastAsia="en-US"/>
        </w:rPr>
        <w:t>e</w:t>
      </w:r>
      <w:r>
        <w:rPr>
          <w:rFonts w:eastAsia="MS Gothic"/>
          <w:sz w:val="20"/>
          <w:szCs w:val="24"/>
          <w:lang w:eastAsia="en-US"/>
        </w:rPr>
        <w:t xml:space="preserve"> C is set to 0, the 5 reserved bits in Oct7 are absent.</w:t>
      </w:r>
    </w:p>
    <w:p w14:paraId="6FB2FB6A" w14:textId="5EAEF209" w:rsidR="006111B6" w:rsidRDefault="006E7348">
      <w:pPr>
        <w:spacing w:before="120"/>
        <w:rPr>
          <w:sz w:val="20"/>
        </w:rPr>
      </w:pPr>
      <w:r>
        <w:rPr>
          <w:sz w:val="20"/>
        </w:rPr>
        <w:t xml:space="preserve">Consequently, only one R bit in Oct 3 (highlighted in </w:t>
      </w:r>
      <w:r>
        <w:rPr>
          <w:rFonts w:hint="eastAsia"/>
          <w:sz w:val="20"/>
        </w:rPr>
        <w:t>red</w:t>
      </w:r>
      <w:r>
        <w:rPr>
          <w:sz w:val="20"/>
        </w:rPr>
        <w:t xml:space="preserve">) can be used </w:t>
      </w:r>
      <w:r>
        <w:rPr>
          <w:rFonts w:hint="eastAsia"/>
          <w:sz w:val="20"/>
        </w:rPr>
        <w:t>to</w:t>
      </w:r>
      <w:r>
        <w:rPr>
          <w:sz w:val="20"/>
        </w:rPr>
        <w:t xml:space="preserve"> configure the NCC value</w:t>
      </w:r>
      <w:r>
        <w:rPr>
          <w:rFonts w:hint="eastAsia"/>
          <w:sz w:val="20"/>
        </w:rPr>
        <w:t>.</w:t>
      </w:r>
      <w:r>
        <w:rPr>
          <w:sz w:val="20"/>
        </w:rPr>
        <w:t xml:space="preserve"> Since at least 3 bits are needed for NCC</w:t>
      </w:r>
      <w:r>
        <w:rPr>
          <w:rFonts w:hint="eastAsia"/>
          <w:sz w:val="20"/>
        </w:rPr>
        <w:t>,</w:t>
      </w:r>
      <w:r>
        <w:rPr>
          <w:sz w:val="20"/>
        </w:rPr>
        <w:t xml:space="preserve"> one R bit in LTM CSC MAC CE is not enough. To include the NCC value in LTM CSC MAC CE, an extra octet (e.g., Oct 8) is needed. Hence, we support to introduce a new MAC CE (Enhanced LTM Cell Switch Command MAC CE) including NCC value for inter-CU MCG LTM, and the Figure </w:t>
      </w:r>
      <w:r w:rsidR="00A74DD2">
        <w:rPr>
          <w:sz w:val="20"/>
        </w:rPr>
        <w:t>1</w:t>
      </w:r>
      <w:r>
        <w:rPr>
          <w:sz w:val="20"/>
        </w:rPr>
        <w:t xml:space="preserve"> shows an example of Enhanced LTM Cell Switch Command MAC CE.</w:t>
      </w:r>
    </w:p>
    <w:p w14:paraId="4063F829" w14:textId="77777777" w:rsidR="006111B6" w:rsidRDefault="006E7348">
      <w:pPr>
        <w:spacing w:before="120"/>
        <w:jc w:val="center"/>
      </w:pPr>
      <w:r>
        <w:object w:dxaOrig="4481" w:dyaOrig="3920" w14:anchorId="53C09223">
          <v:shape id="_x0000_i1026" type="#_x0000_t75" style="width:222.55pt;height:196.35pt" o:ole="">
            <v:imagedata r:id="rId10" o:title=""/>
          </v:shape>
          <o:OLEObject Type="Embed" ProgID="Visio.Drawing.15" ShapeID="_x0000_i1026" DrawAspect="Content" ObjectID="_1804681674" r:id="rId11"/>
        </w:object>
      </w:r>
    </w:p>
    <w:p w14:paraId="7EE4F4DD" w14:textId="77777777" w:rsidR="006111B6" w:rsidRDefault="006E7348">
      <w:pPr>
        <w:spacing w:before="120"/>
        <w:jc w:val="center"/>
        <w:rPr>
          <w:sz w:val="20"/>
        </w:rPr>
      </w:pPr>
      <w:r>
        <w:rPr>
          <w:b/>
          <w:bCs/>
          <w:iCs/>
          <w:sz w:val="21"/>
          <w:szCs w:val="21"/>
          <w:lang w:val="en-US"/>
        </w:rPr>
        <w:t>Figure 1:</w:t>
      </w:r>
      <w:r>
        <w:t xml:space="preserve"> </w:t>
      </w:r>
      <w:r>
        <w:rPr>
          <w:b/>
          <w:bCs/>
          <w:iCs/>
          <w:sz w:val="21"/>
          <w:szCs w:val="21"/>
          <w:lang w:val="en-US"/>
        </w:rPr>
        <w:t>Enhanced</w:t>
      </w:r>
      <w:r>
        <w:t xml:space="preserve"> </w:t>
      </w:r>
      <w:r>
        <w:rPr>
          <w:b/>
          <w:bCs/>
          <w:iCs/>
          <w:sz w:val="21"/>
          <w:szCs w:val="21"/>
          <w:lang w:val="en-US"/>
        </w:rPr>
        <w:t>LTM Cell Switch Command MAC CE</w:t>
      </w:r>
    </w:p>
    <w:p w14:paraId="3092B8AC" w14:textId="77777777" w:rsidR="006111B6" w:rsidRDefault="006E7348">
      <w:pPr>
        <w:spacing w:before="120"/>
        <w:rPr>
          <w:sz w:val="20"/>
        </w:rPr>
      </w:pPr>
      <w:r>
        <w:rPr>
          <w:sz w:val="20"/>
        </w:rPr>
        <w:t>For intra-CU MCG LTM and intra/inter-CU SCG LTM, the Rel-18 LTM Cell Switch Command MAC CE can be reused.</w:t>
      </w:r>
    </w:p>
    <w:p w14:paraId="07C37807" w14:textId="77777777" w:rsidR="006111B6" w:rsidRDefault="006E7348">
      <w:pPr>
        <w:spacing w:before="120"/>
        <w:rPr>
          <w:b/>
          <w:bCs/>
          <w:sz w:val="20"/>
        </w:rPr>
      </w:pPr>
      <w:r>
        <w:rPr>
          <w:b/>
          <w:bCs/>
          <w:sz w:val="20"/>
        </w:rPr>
        <w:t xml:space="preserve">Proposal 2: </w:t>
      </w:r>
      <w:r>
        <w:rPr>
          <w:rFonts w:hint="eastAsia"/>
          <w:b/>
          <w:bCs/>
          <w:sz w:val="20"/>
        </w:rPr>
        <w:t>I</w:t>
      </w:r>
      <w:r>
        <w:rPr>
          <w:b/>
          <w:bCs/>
          <w:sz w:val="20"/>
        </w:rPr>
        <w:t>ntroduce a new MAC CE (Enhanced LTM Cell Switch Command MAC CE) including NCC value for inter-CU MCG LTM.</w:t>
      </w:r>
      <w:r>
        <w:rPr>
          <w:b/>
          <w:bCs/>
        </w:rPr>
        <w:t xml:space="preserve"> </w:t>
      </w:r>
    </w:p>
    <w:p w14:paraId="70E05A57" w14:textId="77777777" w:rsidR="006111B6" w:rsidRDefault="006111B6">
      <w:pPr>
        <w:spacing w:before="120"/>
        <w:jc w:val="center"/>
        <w:rPr>
          <w:sz w:val="20"/>
        </w:rPr>
      </w:pPr>
    </w:p>
    <w:p w14:paraId="69F6A57A" w14:textId="77777777" w:rsidR="006111B6" w:rsidRDefault="006111B6">
      <w:pPr>
        <w:spacing w:before="120"/>
        <w:rPr>
          <w:sz w:val="20"/>
        </w:rPr>
      </w:pPr>
    </w:p>
    <w:p w14:paraId="36372C7C" w14:textId="788838E7" w:rsidR="006111B6" w:rsidRDefault="006E7348">
      <w:pPr>
        <w:spacing w:before="120"/>
        <w:rPr>
          <w:b/>
          <w:bCs/>
          <w:i/>
          <w:iCs/>
          <w:sz w:val="20"/>
          <w:u w:val="single"/>
        </w:rPr>
      </w:pPr>
      <w:r>
        <w:rPr>
          <w:b/>
          <w:bCs/>
          <w:i/>
          <w:iCs/>
          <w:sz w:val="20"/>
          <w:u w:val="single"/>
        </w:rPr>
        <w:t>Whether to revise Rel-19 ID for security key update</w:t>
      </w:r>
    </w:p>
    <w:tbl>
      <w:tblPr>
        <w:tblStyle w:val="af3"/>
        <w:tblW w:w="9629" w:type="dxa"/>
        <w:tblLayout w:type="fixed"/>
        <w:tblLook w:val="04A0" w:firstRow="1" w:lastRow="0" w:firstColumn="1" w:lastColumn="0" w:noHBand="0" w:noVBand="1"/>
      </w:tblPr>
      <w:tblGrid>
        <w:gridCol w:w="9629"/>
      </w:tblGrid>
      <w:tr w:rsidR="006111B6" w14:paraId="7DC58802" w14:textId="77777777">
        <w:tc>
          <w:tcPr>
            <w:tcW w:w="9629" w:type="dxa"/>
          </w:tcPr>
          <w:p w14:paraId="7DB271DA" w14:textId="77777777" w:rsidR="006111B6" w:rsidRDefault="006E7348">
            <w:pPr>
              <w:spacing w:before="120"/>
              <w:rPr>
                <w:i/>
                <w:iCs/>
                <w:sz w:val="20"/>
              </w:rPr>
            </w:pPr>
            <w:r>
              <w:rPr>
                <w:i/>
                <w:iCs/>
                <w:sz w:val="20"/>
              </w:rPr>
              <w:t>Agreement-RAN2#127</w:t>
            </w:r>
          </w:p>
          <w:p w14:paraId="41C6AC1C" w14:textId="77777777" w:rsidR="006111B6" w:rsidRDefault="006E7348">
            <w:pPr>
              <w:spacing w:before="120"/>
              <w:rPr>
                <w:sz w:val="20"/>
              </w:rPr>
            </w:pPr>
            <w:r>
              <w:rPr>
                <w:sz w:val="20"/>
              </w:rPr>
              <w:t>6.      If the security key update is required, the UE shall perform MAC reset, RLC re-establishment and PDCP re-establishment.</w:t>
            </w:r>
            <w:r>
              <w:rPr>
                <w:sz w:val="20"/>
                <w:highlight w:val="yellow"/>
              </w:rPr>
              <w:t xml:space="preserve"> As baseline introduce a new Rel-19 ID in RRC: if the Rel-19 ID is different for the source cell and the target cell</w:t>
            </w:r>
            <w:r>
              <w:rPr>
                <w:sz w:val="20"/>
              </w:rPr>
              <w:t xml:space="preserve">, the UE performs PDCP re-establishment, </w:t>
            </w:r>
            <w:r>
              <w:rPr>
                <w:sz w:val="20"/>
                <w:highlight w:val="yellow"/>
              </w:rPr>
              <w:t>including security key update</w:t>
            </w:r>
            <w:r>
              <w:rPr>
                <w:sz w:val="20"/>
              </w:rPr>
              <w:t xml:space="preserve">, </w:t>
            </w:r>
            <w:r w:rsidRPr="00E94D68">
              <w:rPr>
                <w:sz w:val="20"/>
                <w:highlight w:val="yellow"/>
              </w:rPr>
              <w:t>however dependent on SA3 response, we can revisit it.</w:t>
            </w:r>
          </w:p>
        </w:tc>
      </w:tr>
    </w:tbl>
    <w:p w14:paraId="1DFFACC4" w14:textId="695FC5ED" w:rsidR="006111B6" w:rsidRDefault="006E7348">
      <w:pPr>
        <w:spacing w:before="120"/>
        <w:rPr>
          <w:sz w:val="20"/>
        </w:rPr>
      </w:pPr>
      <w:r>
        <w:rPr>
          <w:rFonts w:hint="eastAsia"/>
          <w:sz w:val="20"/>
        </w:rPr>
        <w:t>In</w:t>
      </w:r>
      <w:r>
        <w:rPr>
          <w:sz w:val="20"/>
        </w:rPr>
        <w:t xml:space="preserve"> the </w:t>
      </w:r>
      <w:r>
        <w:rPr>
          <w:rFonts w:hint="eastAsia"/>
          <w:sz w:val="20"/>
        </w:rPr>
        <w:t>previous</w:t>
      </w:r>
      <w:r>
        <w:rPr>
          <w:sz w:val="20"/>
        </w:rPr>
        <w:t xml:space="preserve"> </w:t>
      </w:r>
      <w:r>
        <w:rPr>
          <w:rFonts w:hint="eastAsia"/>
          <w:sz w:val="20"/>
        </w:rPr>
        <w:t>meeting,</w:t>
      </w:r>
      <w:r>
        <w:rPr>
          <w:sz w:val="20"/>
        </w:rPr>
        <w:t xml:space="preserve"> RAN2 has agreed t</w:t>
      </w:r>
      <w:r>
        <w:rPr>
          <w:rFonts w:hint="eastAsia"/>
          <w:sz w:val="20"/>
        </w:rPr>
        <w:t>o</w:t>
      </w:r>
      <w:r>
        <w:rPr>
          <w:sz w:val="20"/>
        </w:rPr>
        <w:t xml:space="preserve"> use Rel-19 ID </w:t>
      </w:r>
      <w:r>
        <w:rPr>
          <w:rFonts w:hint="eastAsia"/>
          <w:sz w:val="20"/>
        </w:rPr>
        <w:t>to</w:t>
      </w:r>
      <w:r>
        <w:rPr>
          <w:sz w:val="20"/>
        </w:rPr>
        <w:t xml:space="preserve"> </w:t>
      </w:r>
      <w:r>
        <w:rPr>
          <w:rFonts w:hint="eastAsia"/>
          <w:sz w:val="20"/>
        </w:rPr>
        <w:t>indicate</w:t>
      </w:r>
      <w:r>
        <w:rPr>
          <w:sz w:val="20"/>
        </w:rPr>
        <w:t xml:space="preserve"> </w:t>
      </w:r>
      <w:r>
        <w:rPr>
          <w:rFonts w:hint="eastAsia"/>
          <w:sz w:val="20"/>
        </w:rPr>
        <w:t>whether</w:t>
      </w:r>
      <w:r>
        <w:rPr>
          <w:sz w:val="20"/>
        </w:rPr>
        <w:t xml:space="preserve"> </w:t>
      </w:r>
      <w:r>
        <w:rPr>
          <w:rFonts w:hint="eastAsia"/>
          <w:sz w:val="20"/>
        </w:rPr>
        <w:t>to</w:t>
      </w:r>
      <w:r>
        <w:rPr>
          <w:sz w:val="20"/>
        </w:rPr>
        <w:t xml:space="preserve"> perform PDCP re-establishment </w:t>
      </w:r>
      <w:r>
        <w:rPr>
          <w:rFonts w:hint="eastAsia"/>
          <w:sz w:val="20"/>
        </w:rPr>
        <w:t>and</w:t>
      </w:r>
      <w:r>
        <w:rPr>
          <w:sz w:val="20"/>
        </w:rPr>
        <w:t xml:space="preserve"> security key update</w:t>
      </w:r>
      <w:r>
        <w:rPr>
          <w:rFonts w:hint="eastAsia"/>
          <w:sz w:val="20"/>
        </w:rPr>
        <w:t>.</w:t>
      </w:r>
      <w:r>
        <w:rPr>
          <w:sz w:val="20"/>
        </w:rPr>
        <w:t xml:space="preserve"> However</w:t>
      </w:r>
      <w:r>
        <w:rPr>
          <w:rFonts w:hint="eastAsia"/>
          <w:sz w:val="20"/>
        </w:rPr>
        <w:t>,</w:t>
      </w:r>
      <w:r>
        <w:rPr>
          <w:sz w:val="20"/>
        </w:rPr>
        <w:t xml:space="preserve"> SA3 has reached a compromise that the NCC can be transmitted to the UE in plaintext via MAC CE message</w:t>
      </w:r>
      <w:r>
        <w:rPr>
          <w:rFonts w:hint="eastAsia"/>
          <w:sz w:val="20"/>
        </w:rPr>
        <w:t>,</w:t>
      </w:r>
      <w:r>
        <w:rPr>
          <w:sz w:val="20"/>
        </w:rPr>
        <w:t xml:space="preserve"> a</w:t>
      </w:r>
      <w:r>
        <w:rPr>
          <w:rFonts w:hint="eastAsia"/>
          <w:sz w:val="20"/>
        </w:rPr>
        <w:t>nd</w:t>
      </w:r>
      <w:r>
        <w:rPr>
          <w:sz w:val="20"/>
        </w:rPr>
        <w:t xml:space="preserve"> </w:t>
      </w:r>
      <w:r>
        <w:rPr>
          <w:rFonts w:hint="eastAsia"/>
          <w:sz w:val="20"/>
        </w:rPr>
        <w:t>NCC</w:t>
      </w:r>
      <w:r>
        <w:rPr>
          <w:sz w:val="20"/>
        </w:rPr>
        <w:t xml:space="preserve"> </w:t>
      </w:r>
      <w:r>
        <w:rPr>
          <w:rFonts w:hint="eastAsia"/>
          <w:sz w:val="20"/>
        </w:rPr>
        <w:t>value</w:t>
      </w:r>
      <w:r>
        <w:rPr>
          <w:sz w:val="20"/>
        </w:rPr>
        <w:t xml:space="preserve"> </w:t>
      </w:r>
      <w:r>
        <w:rPr>
          <w:rFonts w:hint="eastAsia"/>
          <w:sz w:val="20"/>
        </w:rPr>
        <w:t>in</w:t>
      </w:r>
      <w:r>
        <w:rPr>
          <w:sz w:val="20"/>
        </w:rPr>
        <w:t xml:space="preserve"> </w:t>
      </w:r>
      <w:r>
        <w:rPr>
          <w:rFonts w:hint="eastAsia"/>
          <w:sz w:val="20"/>
        </w:rPr>
        <w:t>LTM</w:t>
      </w:r>
      <w:r>
        <w:rPr>
          <w:sz w:val="20"/>
        </w:rPr>
        <w:t xml:space="preserve"> </w:t>
      </w:r>
      <w:r>
        <w:rPr>
          <w:rFonts w:hint="eastAsia"/>
          <w:sz w:val="20"/>
        </w:rPr>
        <w:t>CSC</w:t>
      </w:r>
      <w:r>
        <w:rPr>
          <w:sz w:val="20"/>
        </w:rPr>
        <w:t xml:space="preserve"> </w:t>
      </w:r>
      <w:r>
        <w:rPr>
          <w:rFonts w:hint="eastAsia"/>
          <w:sz w:val="20"/>
        </w:rPr>
        <w:t>MAC</w:t>
      </w:r>
      <w:r>
        <w:rPr>
          <w:sz w:val="20"/>
        </w:rPr>
        <w:t xml:space="preserve"> </w:t>
      </w:r>
      <w:r>
        <w:rPr>
          <w:rFonts w:hint="eastAsia"/>
          <w:sz w:val="20"/>
        </w:rPr>
        <w:t>CE</w:t>
      </w:r>
      <w:r>
        <w:rPr>
          <w:sz w:val="20"/>
        </w:rPr>
        <w:t xml:space="preserve"> </w:t>
      </w:r>
      <w:r>
        <w:rPr>
          <w:rFonts w:hint="eastAsia"/>
          <w:sz w:val="20"/>
        </w:rPr>
        <w:t>can</w:t>
      </w:r>
      <w:r>
        <w:rPr>
          <w:sz w:val="20"/>
        </w:rPr>
        <w:t xml:space="preserve"> </w:t>
      </w:r>
      <w:r>
        <w:rPr>
          <w:rFonts w:hint="eastAsia"/>
          <w:sz w:val="20"/>
        </w:rPr>
        <w:t>also</w:t>
      </w:r>
      <w:r>
        <w:t xml:space="preserve"> </w:t>
      </w:r>
      <w:r w:rsidR="00256811" w:rsidRPr="00256811">
        <w:rPr>
          <w:sz w:val="20"/>
        </w:rPr>
        <w:t>implicitly</w:t>
      </w:r>
      <w:r>
        <w:rPr>
          <w:sz w:val="20"/>
        </w:rPr>
        <w:t xml:space="preserve"> </w:t>
      </w:r>
      <w:r>
        <w:rPr>
          <w:rFonts w:hint="eastAsia"/>
          <w:sz w:val="20"/>
        </w:rPr>
        <w:t>indicate</w:t>
      </w:r>
      <w:r>
        <w:rPr>
          <w:sz w:val="20"/>
        </w:rPr>
        <w:t xml:space="preserve"> the UE to perform security key update. Rel-19 ID is redundant for security key update.</w:t>
      </w:r>
    </w:p>
    <w:p w14:paraId="74938E60" w14:textId="0A20895F" w:rsidR="006111B6" w:rsidRDefault="006E7348">
      <w:pPr>
        <w:spacing w:before="120"/>
        <w:rPr>
          <w:sz w:val="20"/>
        </w:rPr>
      </w:pPr>
      <w:r>
        <w:rPr>
          <w:sz w:val="20"/>
        </w:rPr>
        <w:t xml:space="preserve">Nonetheless, </w:t>
      </w:r>
      <w:r>
        <w:rPr>
          <w:rFonts w:hint="eastAsia"/>
          <w:sz w:val="20"/>
        </w:rPr>
        <w:t>as</w:t>
      </w:r>
      <w:r>
        <w:rPr>
          <w:sz w:val="20"/>
        </w:rPr>
        <w:t xml:space="preserve"> </w:t>
      </w:r>
      <w:r>
        <w:rPr>
          <w:rFonts w:hint="eastAsia"/>
          <w:sz w:val="20"/>
        </w:rPr>
        <w:t>shown</w:t>
      </w:r>
      <w:r>
        <w:rPr>
          <w:sz w:val="20"/>
        </w:rPr>
        <w:t xml:space="preserve"> </w:t>
      </w:r>
      <w:r>
        <w:rPr>
          <w:rFonts w:hint="eastAsia"/>
          <w:sz w:val="20"/>
        </w:rPr>
        <w:t>in</w:t>
      </w:r>
      <w:r>
        <w:rPr>
          <w:sz w:val="20"/>
        </w:rPr>
        <w:t xml:space="preserve"> </w:t>
      </w:r>
      <w:r>
        <w:rPr>
          <w:rFonts w:hint="eastAsia"/>
          <w:sz w:val="20"/>
        </w:rPr>
        <w:t>section</w:t>
      </w:r>
      <w:r>
        <w:rPr>
          <w:sz w:val="20"/>
        </w:rPr>
        <w:t xml:space="preserve"> 2.2</w:t>
      </w:r>
      <w:r>
        <w:rPr>
          <w:rFonts w:hint="eastAsia"/>
          <w:sz w:val="20"/>
        </w:rPr>
        <w:t>,</w:t>
      </w:r>
      <w:r>
        <w:rPr>
          <w:sz w:val="20"/>
        </w:rPr>
        <w:t xml:space="preserve"> Rel-19 ID can be used for</w:t>
      </w:r>
      <w:r>
        <w:rPr>
          <w:rFonts w:hint="eastAsia"/>
          <w:sz w:val="20"/>
        </w:rPr>
        <w:t xml:space="preserve"> </w:t>
      </w:r>
      <w:r>
        <w:rPr>
          <w:sz w:val="20"/>
        </w:rPr>
        <w:t>LTM based failure recovery to distinguish intra-CU LTM and inter-CU LTM. And Rel-19 ID is useful even if NCC</w:t>
      </w:r>
      <w:r>
        <w:t xml:space="preserve"> </w:t>
      </w:r>
      <w:r>
        <w:rPr>
          <w:sz w:val="20"/>
        </w:rPr>
        <w:t xml:space="preserve">value in LTM CSC is supported. In addition, many L2 reset procedures </w:t>
      </w:r>
      <w:r>
        <w:rPr>
          <w:rFonts w:hint="eastAsia"/>
          <w:sz w:val="20"/>
        </w:rPr>
        <w:t>are</w:t>
      </w:r>
      <w:r>
        <w:rPr>
          <w:sz w:val="20"/>
        </w:rPr>
        <w:t xml:space="preserve"> </w:t>
      </w:r>
      <w:r>
        <w:rPr>
          <w:rFonts w:hint="eastAsia"/>
          <w:sz w:val="20"/>
        </w:rPr>
        <w:t>agreed</w:t>
      </w:r>
      <w:r>
        <w:rPr>
          <w:sz w:val="20"/>
        </w:rPr>
        <w:t xml:space="preserve"> and captured in running CR based on the Rel-19 ID. If we revised the previous agreement, it will result in extra work. Hence, it is not needed to revisit the previous agreements and Rel-19 ID</w:t>
      </w:r>
      <w:r w:rsidR="00A74DD2">
        <w:rPr>
          <w:sz w:val="20"/>
        </w:rPr>
        <w:t xml:space="preserve"> in RRC</w:t>
      </w:r>
      <w:r>
        <w:rPr>
          <w:sz w:val="20"/>
        </w:rPr>
        <w:t xml:space="preserve"> is used to indicate whether to update the security key.</w:t>
      </w:r>
    </w:p>
    <w:p w14:paraId="5BC9FB66" w14:textId="57D71537" w:rsidR="006111B6" w:rsidRDefault="006E7348">
      <w:pPr>
        <w:spacing w:before="120"/>
        <w:rPr>
          <w:b/>
          <w:bCs/>
          <w:sz w:val="20"/>
        </w:rPr>
      </w:pPr>
      <w:r>
        <w:rPr>
          <w:rFonts w:hint="eastAsia"/>
          <w:b/>
          <w:bCs/>
          <w:sz w:val="20"/>
        </w:rPr>
        <w:t>Observation</w:t>
      </w:r>
      <w:r>
        <w:rPr>
          <w:b/>
          <w:bCs/>
          <w:sz w:val="20"/>
        </w:rPr>
        <w:t xml:space="preserve"> 1: It is not needed to revisit the previous agreements and Rel-19 ID</w:t>
      </w:r>
      <w:r w:rsidR="00A74DD2">
        <w:rPr>
          <w:b/>
          <w:bCs/>
          <w:sz w:val="20"/>
        </w:rPr>
        <w:t xml:space="preserve"> in </w:t>
      </w:r>
      <w:r w:rsidR="00A74DD2">
        <w:rPr>
          <w:rFonts w:hint="eastAsia"/>
          <w:b/>
          <w:bCs/>
          <w:sz w:val="20"/>
        </w:rPr>
        <w:t>RRC</w:t>
      </w:r>
      <w:r>
        <w:rPr>
          <w:b/>
          <w:bCs/>
          <w:sz w:val="20"/>
        </w:rPr>
        <w:t xml:space="preserve"> is used to indicate whether to update the security key.</w:t>
      </w:r>
    </w:p>
    <w:p w14:paraId="18C573EE" w14:textId="3928A362" w:rsidR="006111B6" w:rsidRDefault="006E7348">
      <w:pPr>
        <w:spacing w:before="120"/>
        <w:rPr>
          <w:sz w:val="20"/>
        </w:rPr>
      </w:pPr>
      <w:r>
        <w:rPr>
          <w:rFonts w:hint="eastAsia"/>
          <w:sz w:val="20"/>
        </w:rPr>
        <w:t>T</w:t>
      </w:r>
      <w:r>
        <w:rPr>
          <w:sz w:val="20"/>
        </w:rPr>
        <w:t>o avoid the misalignment</w:t>
      </w:r>
      <w:r>
        <w:rPr>
          <w:rFonts w:hint="eastAsia"/>
          <w:sz w:val="20"/>
        </w:rPr>
        <w:t>,</w:t>
      </w:r>
      <w:r>
        <w:rPr>
          <w:sz w:val="20"/>
        </w:rPr>
        <w:t xml:space="preserve"> the network shall ensure the LTM CSC always aligns with the Rel-19 ID</w:t>
      </w:r>
      <w:r w:rsidR="00A74DD2">
        <w:rPr>
          <w:sz w:val="20"/>
        </w:rPr>
        <w:t xml:space="preserve"> </w:t>
      </w:r>
      <w:r w:rsidR="00A74DD2">
        <w:rPr>
          <w:rFonts w:hint="eastAsia"/>
          <w:sz w:val="20"/>
        </w:rPr>
        <w:t>in</w:t>
      </w:r>
      <w:r w:rsidR="00A74DD2">
        <w:rPr>
          <w:sz w:val="20"/>
        </w:rPr>
        <w:t xml:space="preserve"> </w:t>
      </w:r>
      <w:r w:rsidR="00A74DD2">
        <w:rPr>
          <w:rFonts w:hint="eastAsia"/>
          <w:sz w:val="20"/>
        </w:rPr>
        <w:t>RRC</w:t>
      </w:r>
      <w:r>
        <w:rPr>
          <w:sz w:val="20"/>
        </w:rPr>
        <w:t>: i.e., if the Rel-19 ID is different for the source cell and the target cell</w:t>
      </w:r>
      <w:r>
        <w:rPr>
          <w:rFonts w:hint="eastAsia"/>
          <w:sz w:val="20"/>
        </w:rPr>
        <w:t>,</w:t>
      </w:r>
      <w:r>
        <w:rPr>
          <w:sz w:val="20"/>
        </w:rPr>
        <w:t xml:space="preserve"> the network shall send the </w:t>
      </w:r>
      <w:r>
        <w:rPr>
          <w:rFonts w:hint="eastAsia"/>
          <w:sz w:val="20"/>
        </w:rPr>
        <w:t>LTM</w:t>
      </w:r>
      <w:r>
        <w:rPr>
          <w:sz w:val="20"/>
        </w:rPr>
        <w:t xml:space="preserve"> </w:t>
      </w:r>
      <w:r>
        <w:rPr>
          <w:rFonts w:hint="eastAsia"/>
          <w:sz w:val="20"/>
        </w:rPr>
        <w:t>CSC</w:t>
      </w:r>
      <w:r>
        <w:rPr>
          <w:sz w:val="20"/>
        </w:rPr>
        <w:t xml:space="preserve"> with </w:t>
      </w:r>
      <w:r>
        <w:rPr>
          <w:rFonts w:hint="eastAsia"/>
          <w:sz w:val="20"/>
        </w:rPr>
        <w:t>NCC</w:t>
      </w:r>
      <w:r>
        <w:rPr>
          <w:sz w:val="20"/>
        </w:rPr>
        <w:t xml:space="preserve"> to </w:t>
      </w:r>
      <w:r>
        <w:rPr>
          <w:rFonts w:hint="eastAsia"/>
          <w:sz w:val="20"/>
        </w:rPr>
        <w:t>UE</w:t>
      </w:r>
      <w:r>
        <w:rPr>
          <w:sz w:val="20"/>
        </w:rPr>
        <w:t>; otherwise, the network shall send the LTM CSC without NCC to UE.</w:t>
      </w:r>
    </w:p>
    <w:p w14:paraId="69FD4335" w14:textId="4145DC7B" w:rsidR="006111B6" w:rsidRDefault="006E7348">
      <w:pPr>
        <w:spacing w:before="120"/>
        <w:rPr>
          <w:b/>
          <w:bCs/>
          <w:sz w:val="20"/>
        </w:rPr>
      </w:pPr>
      <w:r>
        <w:rPr>
          <w:b/>
          <w:bCs/>
          <w:sz w:val="20"/>
        </w:rPr>
        <w:t>Proposal 3: For MCG LTM, the network shall ensure the LTM CSC always aligns with the Rel-19 ID</w:t>
      </w:r>
      <w:r w:rsidR="00A74DD2">
        <w:rPr>
          <w:b/>
          <w:bCs/>
          <w:sz w:val="20"/>
        </w:rPr>
        <w:t xml:space="preserve"> </w:t>
      </w:r>
      <w:r w:rsidR="00A74DD2">
        <w:rPr>
          <w:rFonts w:hint="eastAsia"/>
          <w:b/>
          <w:bCs/>
          <w:sz w:val="20"/>
        </w:rPr>
        <w:t>in</w:t>
      </w:r>
      <w:r w:rsidR="00A74DD2">
        <w:rPr>
          <w:b/>
          <w:bCs/>
          <w:sz w:val="20"/>
        </w:rPr>
        <w:t xml:space="preserve"> </w:t>
      </w:r>
      <w:r w:rsidR="00A74DD2">
        <w:rPr>
          <w:rFonts w:hint="eastAsia"/>
          <w:b/>
          <w:bCs/>
          <w:sz w:val="20"/>
        </w:rPr>
        <w:t>RRC</w:t>
      </w:r>
      <w:r>
        <w:rPr>
          <w:rFonts w:hint="eastAsia"/>
          <w:b/>
          <w:bCs/>
          <w:sz w:val="20"/>
        </w:rPr>
        <w:t>:</w:t>
      </w:r>
    </w:p>
    <w:p w14:paraId="3408289D" w14:textId="77777777" w:rsidR="006111B6" w:rsidRDefault="006E7348">
      <w:pPr>
        <w:pStyle w:val="af8"/>
        <w:numPr>
          <w:ilvl w:val="0"/>
          <w:numId w:val="8"/>
        </w:numPr>
        <w:spacing w:before="120"/>
        <w:ind w:firstLineChars="0"/>
        <w:rPr>
          <w:b/>
          <w:bCs/>
          <w:sz w:val="20"/>
        </w:rPr>
      </w:pPr>
      <w:r>
        <w:rPr>
          <w:b/>
          <w:bCs/>
          <w:sz w:val="20"/>
        </w:rPr>
        <w:t>i.e., if the Rel-19 ID is different for the source cell and the target cell, the network shall send the LTM CSC with NCC to UE; otherwise, the network shall send the LTM CSC without NCC to UE.</w:t>
      </w:r>
    </w:p>
    <w:p w14:paraId="13390635" w14:textId="77777777" w:rsidR="006111B6" w:rsidRDefault="006E7348">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Pr>
          <w:rFonts w:ascii="Arial" w:hAnsi="Arial"/>
          <w:sz w:val="32"/>
          <w:szCs w:val="32"/>
        </w:rPr>
        <w:lastRenderedPageBreak/>
        <w:t>LTM based failure recovery</w:t>
      </w:r>
    </w:p>
    <w:p w14:paraId="0DAFE7B7" w14:textId="2608DE59" w:rsidR="006111B6" w:rsidRDefault="006E7348">
      <w:pPr>
        <w:spacing w:before="120"/>
        <w:rPr>
          <w:bCs/>
          <w:sz w:val="20"/>
        </w:rPr>
      </w:pPr>
      <w:r>
        <w:rPr>
          <w:rFonts w:hint="eastAsia"/>
          <w:bCs/>
          <w:sz w:val="20"/>
        </w:rPr>
        <w:t>In</w:t>
      </w:r>
      <w:r>
        <w:rPr>
          <w:bCs/>
          <w:sz w:val="20"/>
        </w:rPr>
        <w:t xml:space="preserve"> previous </w:t>
      </w:r>
      <w:r>
        <w:rPr>
          <w:rFonts w:hint="eastAsia"/>
          <w:bCs/>
          <w:sz w:val="20"/>
        </w:rPr>
        <w:t>meeting</w:t>
      </w:r>
      <w:r>
        <w:rPr>
          <w:bCs/>
          <w:sz w:val="20"/>
        </w:rPr>
        <w:t>s</w:t>
      </w:r>
      <w:r>
        <w:rPr>
          <w:rFonts w:hint="eastAsia"/>
          <w:bCs/>
          <w:sz w:val="20"/>
        </w:rPr>
        <w:t>,</w:t>
      </w:r>
      <w:r>
        <w:rPr>
          <w:bCs/>
          <w:sz w:val="20"/>
        </w:rPr>
        <w:t xml:space="preserve"> LTM based fast failure recovery has been discussed, with the following agreement:</w:t>
      </w:r>
    </w:p>
    <w:tbl>
      <w:tblPr>
        <w:tblStyle w:val="12"/>
        <w:tblW w:w="9629" w:type="dxa"/>
        <w:tblLayout w:type="fixed"/>
        <w:tblLook w:val="04A0" w:firstRow="1" w:lastRow="0" w:firstColumn="1" w:lastColumn="0" w:noHBand="0" w:noVBand="1"/>
      </w:tblPr>
      <w:tblGrid>
        <w:gridCol w:w="9629"/>
      </w:tblGrid>
      <w:tr w:rsidR="006111B6" w14:paraId="0DD68DEF" w14:textId="77777777">
        <w:tc>
          <w:tcPr>
            <w:tcW w:w="9629" w:type="dxa"/>
          </w:tcPr>
          <w:p w14:paraId="3058FD65" w14:textId="77777777" w:rsidR="006111B6" w:rsidRDefault="006E7348">
            <w:pPr>
              <w:spacing w:before="120"/>
              <w:rPr>
                <w:bCs/>
                <w:i/>
                <w:iCs/>
                <w:sz w:val="20"/>
              </w:rPr>
            </w:pPr>
            <w:r>
              <w:rPr>
                <w:bCs/>
                <w:i/>
                <w:iCs/>
                <w:sz w:val="20"/>
              </w:rPr>
              <w:t>RAN2#127bis meeting</w:t>
            </w:r>
          </w:p>
          <w:p w14:paraId="60FDE215" w14:textId="77777777" w:rsidR="006111B6" w:rsidRDefault="006E7348">
            <w:pPr>
              <w:spacing w:before="120"/>
              <w:rPr>
                <w:bCs/>
                <w:sz w:val="20"/>
              </w:rPr>
            </w:pPr>
            <w:r>
              <w:rPr>
                <w:bCs/>
                <w:sz w:val="20"/>
              </w:rPr>
              <w:t>1.</w:t>
            </w:r>
            <w:r>
              <w:rPr>
                <w:bCs/>
                <w:sz w:val="20"/>
              </w:rPr>
              <w:tab/>
              <w:t>The Rel18 handling on failure is reused in R19 if the UE selects an intra-CU LTM candidate cell after intra-CU LTM failure; for other cases, e.g. inter-CU LTM failure, the failure handling is FFS (related to SA3’s inputs).</w:t>
            </w:r>
          </w:p>
          <w:p w14:paraId="06D72A08" w14:textId="77777777" w:rsidR="006111B6" w:rsidRDefault="006E7348">
            <w:pPr>
              <w:spacing w:before="120"/>
              <w:rPr>
                <w:bCs/>
                <w:i/>
                <w:iCs/>
                <w:sz w:val="20"/>
              </w:rPr>
            </w:pPr>
            <w:r>
              <w:rPr>
                <w:bCs/>
                <w:i/>
                <w:iCs/>
                <w:sz w:val="20"/>
              </w:rPr>
              <w:t>RAN2 #128 meeting</w:t>
            </w:r>
          </w:p>
          <w:p w14:paraId="077425B0" w14:textId="77777777" w:rsidR="006111B6" w:rsidRDefault="006E7348">
            <w:pPr>
              <w:spacing w:before="120"/>
              <w:rPr>
                <w:bCs/>
                <w:sz w:val="20"/>
              </w:rPr>
            </w:pPr>
            <w:r>
              <w:rPr>
                <w:bCs/>
                <w:sz w:val="20"/>
              </w:rPr>
              <w:t>RAN2 to postpone the discussion on fast recovery upon inter-CU LTM failure until inter-CU LTM security solution is finalized, if fast recovery is feasible.</w:t>
            </w:r>
          </w:p>
        </w:tc>
      </w:tr>
    </w:tbl>
    <w:p w14:paraId="7B0FB7C1" w14:textId="77777777" w:rsidR="006111B6" w:rsidRPr="00A94D69" w:rsidRDefault="006E7348">
      <w:pPr>
        <w:spacing w:before="120"/>
        <w:rPr>
          <w:bCs/>
          <w:sz w:val="20"/>
        </w:rPr>
      </w:pPr>
      <w:r w:rsidRPr="00A94D69">
        <w:rPr>
          <w:bCs/>
          <w:sz w:val="20"/>
        </w:rPr>
        <w:t>The Rel-18 LTM based failure recovery can also be used for both radio link failure and MCG LTM failure, as specified in TS 38.331</w:t>
      </w:r>
      <w:r w:rsidRPr="00A94D69">
        <w:rPr>
          <w:bCs/>
          <w:sz w:val="20"/>
        </w:rPr>
        <w:t>：</w:t>
      </w:r>
    </w:p>
    <w:tbl>
      <w:tblPr>
        <w:tblStyle w:val="12"/>
        <w:tblW w:w="9629" w:type="dxa"/>
        <w:tblLayout w:type="fixed"/>
        <w:tblLook w:val="04A0" w:firstRow="1" w:lastRow="0" w:firstColumn="1" w:lastColumn="0" w:noHBand="0" w:noVBand="1"/>
      </w:tblPr>
      <w:tblGrid>
        <w:gridCol w:w="9629"/>
      </w:tblGrid>
      <w:tr w:rsidR="006111B6" w14:paraId="77B95D1D" w14:textId="77777777">
        <w:tc>
          <w:tcPr>
            <w:tcW w:w="9629" w:type="dxa"/>
          </w:tcPr>
          <w:p w14:paraId="25094E37" w14:textId="77777777" w:rsidR="006111B6" w:rsidRDefault="006E7348">
            <w:pPr>
              <w:spacing w:after="180" w:line="240" w:lineRule="auto"/>
              <w:jc w:val="left"/>
              <w:rPr>
                <w:rFonts w:eastAsia="等线"/>
                <w:b/>
                <w:bCs/>
                <w:i/>
                <w:iCs/>
                <w:sz w:val="20"/>
              </w:rPr>
            </w:pPr>
            <w:r>
              <w:rPr>
                <w:rFonts w:eastAsia="等线"/>
                <w:b/>
                <w:bCs/>
                <w:i/>
                <w:iCs/>
                <w:sz w:val="20"/>
              </w:rPr>
              <w:t>3GPP TS 38.331</w:t>
            </w:r>
          </w:p>
          <w:p w14:paraId="710A6B6B" w14:textId="77777777" w:rsidR="006111B6" w:rsidRDefault="006E7348">
            <w:pPr>
              <w:spacing w:after="180" w:line="240" w:lineRule="auto"/>
              <w:ind w:left="568" w:hanging="284"/>
              <w:jc w:val="left"/>
              <w:rPr>
                <w:rFonts w:eastAsia="Times New Roman"/>
                <w:sz w:val="20"/>
              </w:rPr>
            </w:pPr>
            <w:r>
              <w:rPr>
                <w:rFonts w:eastAsia="Times New Roman"/>
                <w:sz w:val="20"/>
              </w:rPr>
              <w:t>1&gt;</w:t>
            </w:r>
            <w:r>
              <w:rPr>
                <w:rFonts w:eastAsia="Times New Roman"/>
                <w:sz w:val="20"/>
              </w:rPr>
              <w:tab/>
              <w:t xml:space="preserve">if the cell selection is triggered by detecting </w:t>
            </w:r>
            <w:r>
              <w:rPr>
                <w:rFonts w:eastAsia="Times New Roman"/>
                <w:sz w:val="20"/>
                <w:highlight w:val="yellow"/>
              </w:rPr>
              <w:t>radio link failure of the MCG</w:t>
            </w:r>
            <w:r>
              <w:rPr>
                <w:rFonts w:eastAsia="Times New Roman"/>
                <w:sz w:val="20"/>
              </w:rPr>
              <w:t xml:space="preserve"> or r</w:t>
            </w:r>
            <w:r>
              <w:rPr>
                <w:rFonts w:eastAsia="Times New Roman"/>
                <w:sz w:val="20"/>
                <w:highlight w:val="yellow"/>
              </w:rPr>
              <w:t>e-configuration with sync failure of the MCG for an LTM cell switch procedure</w:t>
            </w:r>
            <w:r>
              <w:rPr>
                <w:rFonts w:eastAsia="Times New Roman"/>
                <w:sz w:val="20"/>
              </w:rPr>
              <w:t xml:space="preserve"> triggered upon the indication by lower layers as specified in clause 5.3.5.18.6; and</w:t>
            </w:r>
          </w:p>
          <w:p w14:paraId="37C7E71A" w14:textId="77777777" w:rsidR="006111B6" w:rsidRDefault="006E7348">
            <w:pPr>
              <w:spacing w:after="180" w:line="240" w:lineRule="auto"/>
              <w:ind w:left="568" w:hanging="284"/>
              <w:jc w:val="left"/>
              <w:rPr>
                <w:rFonts w:eastAsia="Yu Mincho"/>
                <w:sz w:val="20"/>
              </w:rPr>
            </w:pPr>
            <w:r>
              <w:rPr>
                <w:rFonts w:eastAsia="Yu Mincho"/>
                <w:sz w:val="20"/>
              </w:rPr>
              <w:t>1&gt;</w:t>
            </w:r>
            <w:r>
              <w:rPr>
                <w:rFonts w:eastAsia="Yu Mincho"/>
                <w:sz w:val="20"/>
              </w:rPr>
              <w:tab/>
              <w:t xml:space="preserve">if </w:t>
            </w:r>
            <w:r>
              <w:rPr>
                <w:rFonts w:eastAsia="Yu Mincho"/>
                <w:i/>
                <w:iCs/>
                <w:sz w:val="20"/>
              </w:rPr>
              <w:t>attemptLTM-Switch</w:t>
            </w:r>
            <w:r>
              <w:rPr>
                <w:rFonts w:eastAsia="Yu Mincho"/>
                <w:sz w:val="20"/>
              </w:rPr>
              <w:t xml:space="preserve"> is configured; and</w:t>
            </w:r>
          </w:p>
          <w:p w14:paraId="0AF99469" w14:textId="77777777" w:rsidR="006111B6" w:rsidRDefault="006E7348">
            <w:pPr>
              <w:spacing w:after="180" w:line="240" w:lineRule="auto"/>
              <w:ind w:left="568" w:hanging="284"/>
              <w:jc w:val="left"/>
              <w:rPr>
                <w:rFonts w:eastAsia="Yu Mincho"/>
                <w:sz w:val="20"/>
              </w:rPr>
            </w:pPr>
            <w:r>
              <w:rPr>
                <w:rFonts w:eastAsia="Yu Mincho"/>
                <w:sz w:val="20"/>
              </w:rPr>
              <w:t>1&gt;</w:t>
            </w:r>
            <w:r>
              <w:rPr>
                <w:rFonts w:eastAsia="Yu Mincho"/>
                <w:sz w:val="20"/>
              </w:rPr>
              <w:tab/>
              <w:t xml:space="preserve">if the selected cell is one of the LTM candidate cells in the </w:t>
            </w:r>
            <w:r>
              <w:rPr>
                <w:rFonts w:eastAsia="Yu Mincho"/>
                <w:i/>
                <w:iCs/>
                <w:sz w:val="20"/>
              </w:rPr>
              <w:t xml:space="preserve">LTM-Candidate </w:t>
            </w:r>
            <w:r>
              <w:rPr>
                <w:rFonts w:eastAsia="Yu Mincho"/>
                <w:sz w:val="20"/>
              </w:rPr>
              <w:t xml:space="preserve">IE within </w:t>
            </w:r>
            <w:r>
              <w:rPr>
                <w:rFonts w:eastAsia="Yu Mincho"/>
                <w:i/>
                <w:iCs/>
                <w:sz w:val="20"/>
              </w:rPr>
              <w:t>ltm-Config</w:t>
            </w:r>
            <w:r>
              <w:rPr>
                <w:rFonts w:eastAsia="Yu Mincho"/>
                <w:sz w:val="20"/>
              </w:rPr>
              <w:t xml:space="preserve"> associated with the MCG:</w:t>
            </w:r>
          </w:p>
          <w:p w14:paraId="23BF29F5" w14:textId="77777777" w:rsidR="006111B6" w:rsidRDefault="006E7348">
            <w:pPr>
              <w:spacing w:after="180" w:line="240" w:lineRule="auto"/>
              <w:ind w:left="851" w:hanging="284"/>
              <w:jc w:val="left"/>
              <w:rPr>
                <w:rFonts w:eastAsia="等线"/>
                <w:sz w:val="20"/>
              </w:rPr>
            </w:pPr>
            <w:r>
              <w:rPr>
                <w:rFonts w:eastAsia="Times New Roman"/>
                <w:sz w:val="20"/>
              </w:rPr>
              <w:t>2&gt;</w:t>
            </w:r>
            <w:r>
              <w:rPr>
                <w:rFonts w:eastAsia="Times New Roman"/>
                <w:sz w:val="20"/>
              </w:rPr>
              <w:tab/>
              <w:t>perform the LTM cell switch procedure for the selected LTM candidate cell according to the actions specified in 5.3.5.18.6;</w:t>
            </w:r>
          </w:p>
        </w:tc>
      </w:tr>
    </w:tbl>
    <w:p w14:paraId="1D361BD2" w14:textId="77777777" w:rsidR="006111B6" w:rsidRDefault="006111B6">
      <w:pPr>
        <w:spacing w:before="40" w:after="0" w:line="240" w:lineRule="auto"/>
        <w:jc w:val="left"/>
        <w:rPr>
          <w:iCs/>
          <w:sz w:val="21"/>
          <w:szCs w:val="21"/>
          <w:lang w:val="en-US"/>
        </w:rPr>
      </w:pPr>
    </w:p>
    <w:p w14:paraId="3FD60B8D" w14:textId="6D47123D" w:rsidR="006111B6" w:rsidRPr="00A94D69" w:rsidRDefault="006E7348" w:rsidP="00A94D69">
      <w:pPr>
        <w:spacing w:before="120"/>
        <w:rPr>
          <w:rFonts w:hint="eastAsia"/>
          <w:bCs/>
          <w:sz w:val="20"/>
        </w:rPr>
      </w:pPr>
      <w:r w:rsidRPr="00A94D69">
        <w:rPr>
          <w:rFonts w:hint="eastAsia"/>
          <w:bCs/>
          <w:sz w:val="20"/>
        </w:rPr>
        <w:t>I</w:t>
      </w:r>
      <w:r w:rsidRPr="00A94D69">
        <w:rPr>
          <w:bCs/>
          <w:sz w:val="20"/>
        </w:rPr>
        <w:t>n Rel-19</w:t>
      </w:r>
      <w:r w:rsidRPr="00A94D69">
        <w:rPr>
          <w:rFonts w:hint="eastAsia"/>
          <w:bCs/>
          <w:sz w:val="20"/>
        </w:rPr>
        <w:t>,</w:t>
      </w:r>
      <w:r w:rsidRPr="00A94D69">
        <w:rPr>
          <w:bCs/>
          <w:sz w:val="20"/>
        </w:rPr>
        <w:t xml:space="preserve"> the following 7 cases can be discussed for LTM based failure recovery in the table 1, and we provide 3 types of failure, including RLF, intra-CU LTM failure and inter-</w:t>
      </w:r>
      <w:r w:rsidRPr="00A94D69">
        <w:rPr>
          <w:rFonts w:hint="eastAsia"/>
          <w:bCs/>
          <w:sz w:val="20"/>
        </w:rPr>
        <w:t>CU</w:t>
      </w:r>
      <w:r w:rsidRPr="00A94D69">
        <w:rPr>
          <w:bCs/>
          <w:sz w:val="20"/>
        </w:rPr>
        <w:t xml:space="preserve"> </w:t>
      </w:r>
      <w:r w:rsidRPr="00A94D69">
        <w:rPr>
          <w:rFonts w:hint="eastAsia"/>
          <w:bCs/>
          <w:sz w:val="20"/>
        </w:rPr>
        <w:t>LTM</w:t>
      </w:r>
      <w:r w:rsidRPr="00A94D69">
        <w:rPr>
          <w:bCs/>
          <w:sz w:val="20"/>
        </w:rPr>
        <w:t xml:space="preserve"> </w:t>
      </w:r>
      <w:r w:rsidRPr="00A94D69">
        <w:rPr>
          <w:rFonts w:hint="eastAsia"/>
          <w:bCs/>
          <w:sz w:val="20"/>
        </w:rPr>
        <w:t>failure</w:t>
      </w:r>
      <w:r w:rsidRPr="00A94D69">
        <w:rPr>
          <w:bCs/>
          <w:sz w:val="20"/>
        </w:rPr>
        <w:t xml:space="preserve"> </w:t>
      </w:r>
      <w:r w:rsidRPr="00A94D69">
        <w:rPr>
          <w:rFonts w:hint="eastAsia"/>
          <w:bCs/>
          <w:sz w:val="20"/>
        </w:rPr>
        <w:t>and</w:t>
      </w:r>
      <w:r w:rsidRPr="00A94D69">
        <w:rPr>
          <w:bCs/>
          <w:sz w:val="20"/>
        </w:rPr>
        <w:t xml:space="preserve"> </w:t>
      </w:r>
      <w:r w:rsidRPr="00A94D69">
        <w:rPr>
          <w:rFonts w:hint="eastAsia"/>
          <w:bCs/>
          <w:sz w:val="20"/>
        </w:rPr>
        <w:t>provide</w:t>
      </w:r>
      <w:r w:rsidRPr="00A94D69">
        <w:rPr>
          <w:bCs/>
          <w:sz w:val="20"/>
        </w:rPr>
        <w:t xml:space="preserve"> </w:t>
      </w:r>
      <w:r w:rsidRPr="00A94D69">
        <w:rPr>
          <w:rFonts w:hint="eastAsia"/>
          <w:bCs/>
          <w:sz w:val="20"/>
        </w:rPr>
        <w:t>three</w:t>
      </w:r>
      <w:r w:rsidRPr="00A94D69">
        <w:rPr>
          <w:bCs/>
          <w:sz w:val="20"/>
        </w:rPr>
        <w:t xml:space="preserve"> </w:t>
      </w:r>
      <w:r w:rsidRPr="00A94D69">
        <w:rPr>
          <w:rFonts w:hint="eastAsia"/>
          <w:bCs/>
          <w:sz w:val="20"/>
        </w:rPr>
        <w:t>types</w:t>
      </w:r>
      <w:r w:rsidRPr="00A94D69">
        <w:rPr>
          <w:bCs/>
          <w:sz w:val="20"/>
        </w:rPr>
        <w:t xml:space="preserve"> </w:t>
      </w:r>
      <w:r w:rsidRPr="00A94D69">
        <w:rPr>
          <w:rFonts w:hint="eastAsia"/>
          <w:bCs/>
          <w:sz w:val="20"/>
        </w:rPr>
        <w:t>of</w:t>
      </w:r>
      <w:r w:rsidRPr="00A94D69">
        <w:rPr>
          <w:bCs/>
          <w:sz w:val="20"/>
        </w:rPr>
        <w:t xml:space="preserve"> </w:t>
      </w:r>
      <w:r w:rsidRPr="00A94D69">
        <w:rPr>
          <w:rFonts w:hint="eastAsia"/>
          <w:bCs/>
          <w:sz w:val="20"/>
        </w:rPr>
        <w:t>selected</w:t>
      </w:r>
      <w:r w:rsidRPr="00A94D69">
        <w:rPr>
          <w:bCs/>
          <w:sz w:val="20"/>
        </w:rPr>
        <w:t xml:space="preserve"> </w:t>
      </w:r>
      <w:r w:rsidRPr="00A94D69">
        <w:rPr>
          <w:rFonts w:hint="eastAsia"/>
          <w:bCs/>
          <w:sz w:val="20"/>
        </w:rPr>
        <w:t>cell,</w:t>
      </w:r>
      <w:r w:rsidRPr="00A94D69">
        <w:rPr>
          <w:bCs/>
          <w:sz w:val="20"/>
        </w:rPr>
        <w:t xml:space="preserve"> including the selected cell from source/serving CU (CU1), the selected cell from target CU (CU2) and the selected cell from non-source/serving CU and non-target CU (CU3)</w:t>
      </w:r>
      <w:r w:rsidR="00A94D69">
        <w:rPr>
          <w:rFonts w:hint="eastAsia"/>
          <w:bCs/>
          <w:sz w:val="20"/>
        </w:rPr>
        <w:t>.</w:t>
      </w:r>
    </w:p>
    <w:p w14:paraId="1185E5E9" w14:textId="77777777" w:rsidR="006111B6" w:rsidRDefault="006111B6">
      <w:pPr>
        <w:spacing w:before="40" w:after="0" w:line="240" w:lineRule="auto"/>
        <w:jc w:val="left"/>
        <w:rPr>
          <w:iCs/>
          <w:sz w:val="21"/>
          <w:szCs w:val="21"/>
          <w:lang w:val="en-US"/>
        </w:rPr>
      </w:pPr>
    </w:p>
    <w:p w14:paraId="58D1CC46" w14:textId="77777777" w:rsidR="006111B6" w:rsidRDefault="006E7348">
      <w:pPr>
        <w:spacing w:before="40" w:after="0" w:line="240" w:lineRule="auto"/>
        <w:jc w:val="center"/>
        <w:rPr>
          <w:iCs/>
          <w:sz w:val="21"/>
          <w:szCs w:val="21"/>
          <w:lang w:val="en-US"/>
        </w:rPr>
      </w:pPr>
      <w:bookmarkStart w:id="6" w:name="_Hlk194067846"/>
      <w:r>
        <w:rPr>
          <w:iCs/>
          <w:sz w:val="21"/>
          <w:szCs w:val="21"/>
          <w:lang w:val="en-US"/>
        </w:rPr>
        <w:t xml:space="preserve">Table 1: Rel-19 LTM </w:t>
      </w:r>
      <w:r>
        <w:rPr>
          <w:rFonts w:hint="eastAsia"/>
          <w:iCs/>
          <w:sz w:val="21"/>
          <w:szCs w:val="21"/>
          <w:lang w:val="en-US"/>
        </w:rPr>
        <w:t>based</w:t>
      </w:r>
      <w:r>
        <w:rPr>
          <w:iCs/>
          <w:sz w:val="21"/>
          <w:szCs w:val="21"/>
          <w:lang w:val="en-US"/>
        </w:rPr>
        <w:t xml:space="preserve"> failure recovery cases</w:t>
      </w:r>
    </w:p>
    <w:tbl>
      <w:tblPr>
        <w:tblStyle w:val="TableGrid2"/>
        <w:tblW w:w="9629" w:type="dxa"/>
        <w:tblLayout w:type="fixed"/>
        <w:tblLook w:val="04A0" w:firstRow="1" w:lastRow="0" w:firstColumn="1" w:lastColumn="0" w:noHBand="0" w:noVBand="1"/>
      </w:tblPr>
      <w:tblGrid>
        <w:gridCol w:w="2465"/>
        <w:gridCol w:w="1925"/>
        <w:gridCol w:w="2855"/>
        <w:gridCol w:w="2384"/>
      </w:tblGrid>
      <w:tr w:rsidR="006111B6" w14:paraId="44147551" w14:textId="77777777">
        <w:tc>
          <w:tcPr>
            <w:tcW w:w="2465" w:type="dxa"/>
            <w:tcBorders>
              <w:tl2br w:val="single" w:sz="4" w:space="0" w:color="auto"/>
            </w:tcBorders>
          </w:tcPr>
          <w:p w14:paraId="03966EDA" w14:textId="77777777" w:rsidR="006111B6" w:rsidRDefault="006E7348">
            <w:pPr>
              <w:spacing w:before="40" w:after="0" w:line="240" w:lineRule="auto"/>
              <w:ind w:firstLineChars="450" w:firstLine="945"/>
              <w:jc w:val="left"/>
              <w:rPr>
                <w:iCs/>
                <w:sz w:val="21"/>
                <w:szCs w:val="21"/>
                <w:lang w:val="en-US"/>
              </w:rPr>
            </w:pPr>
            <w:r>
              <w:rPr>
                <w:iCs/>
                <w:sz w:val="21"/>
                <w:szCs w:val="21"/>
                <w:lang w:val="en-US"/>
              </w:rPr>
              <w:t xml:space="preserve">Failure type: </w:t>
            </w:r>
          </w:p>
          <w:p w14:paraId="3D27575E" w14:textId="77777777" w:rsidR="006111B6" w:rsidRDefault="006E7348">
            <w:pPr>
              <w:spacing w:before="40" w:after="0" w:line="240" w:lineRule="auto"/>
              <w:jc w:val="left"/>
              <w:rPr>
                <w:iCs/>
                <w:sz w:val="21"/>
                <w:szCs w:val="21"/>
                <w:lang w:val="en-US"/>
              </w:rPr>
            </w:pPr>
            <w:r>
              <w:rPr>
                <w:iCs/>
                <w:sz w:val="21"/>
                <w:szCs w:val="21"/>
                <w:lang w:val="en-US"/>
              </w:rPr>
              <w:t xml:space="preserve">Selected cell </w:t>
            </w:r>
          </w:p>
          <w:p w14:paraId="294F9781" w14:textId="77777777" w:rsidR="006111B6" w:rsidRDefault="006E7348">
            <w:pPr>
              <w:spacing w:before="40" w:after="0" w:line="240" w:lineRule="auto"/>
              <w:jc w:val="left"/>
              <w:rPr>
                <w:iCs/>
                <w:sz w:val="21"/>
                <w:szCs w:val="21"/>
                <w:lang w:val="en-US"/>
              </w:rPr>
            </w:pPr>
            <w:r>
              <w:rPr>
                <w:iCs/>
                <w:sz w:val="21"/>
                <w:szCs w:val="21"/>
                <w:lang w:val="en-US"/>
              </w:rPr>
              <w:t>for recovery:</w:t>
            </w:r>
          </w:p>
        </w:tc>
        <w:tc>
          <w:tcPr>
            <w:tcW w:w="1925" w:type="dxa"/>
          </w:tcPr>
          <w:p w14:paraId="6D73E7FB" w14:textId="77777777" w:rsidR="006111B6" w:rsidRDefault="006E7348">
            <w:pPr>
              <w:spacing w:before="40" w:after="0" w:line="240" w:lineRule="auto"/>
              <w:jc w:val="left"/>
              <w:rPr>
                <w:iCs/>
                <w:sz w:val="21"/>
                <w:szCs w:val="21"/>
                <w:lang w:val="en-US"/>
              </w:rPr>
            </w:pPr>
            <w:r>
              <w:rPr>
                <w:rFonts w:hint="eastAsia"/>
                <w:iCs/>
                <w:sz w:val="21"/>
                <w:szCs w:val="21"/>
                <w:lang w:val="en-US"/>
              </w:rPr>
              <w:t>R</w:t>
            </w:r>
            <w:r>
              <w:rPr>
                <w:iCs/>
                <w:sz w:val="21"/>
                <w:szCs w:val="21"/>
                <w:lang w:val="en-US"/>
              </w:rPr>
              <w:t>LF</w:t>
            </w:r>
          </w:p>
          <w:p w14:paraId="12978A43" w14:textId="77777777" w:rsidR="006111B6" w:rsidRDefault="006E7348">
            <w:pPr>
              <w:spacing w:before="40" w:after="0" w:line="240" w:lineRule="auto"/>
              <w:jc w:val="left"/>
              <w:rPr>
                <w:iCs/>
                <w:sz w:val="21"/>
                <w:szCs w:val="21"/>
                <w:lang w:val="en-US"/>
              </w:rPr>
            </w:pPr>
            <w:r>
              <w:rPr>
                <w:iCs/>
                <w:sz w:val="21"/>
                <w:szCs w:val="21"/>
                <w:lang w:val="en-US"/>
              </w:rPr>
              <w:t>(serving cell CU1 Cell)</w:t>
            </w:r>
          </w:p>
        </w:tc>
        <w:tc>
          <w:tcPr>
            <w:tcW w:w="2855" w:type="dxa"/>
          </w:tcPr>
          <w:p w14:paraId="5A9FEC67" w14:textId="77777777" w:rsidR="006111B6" w:rsidRDefault="006E7348">
            <w:pPr>
              <w:spacing w:before="40" w:after="0" w:line="240" w:lineRule="auto"/>
              <w:jc w:val="left"/>
              <w:rPr>
                <w:iCs/>
                <w:sz w:val="21"/>
                <w:szCs w:val="21"/>
                <w:lang w:val="en-US"/>
              </w:rPr>
            </w:pPr>
            <w:r>
              <w:rPr>
                <w:iCs/>
                <w:sz w:val="21"/>
                <w:szCs w:val="21"/>
                <w:lang w:val="en-US"/>
              </w:rPr>
              <w:t>Intra-CU LTM failure</w:t>
            </w:r>
          </w:p>
          <w:p w14:paraId="443D10DF" w14:textId="77777777" w:rsidR="006111B6" w:rsidRDefault="006E7348">
            <w:pPr>
              <w:spacing w:before="40" w:after="0" w:line="240" w:lineRule="auto"/>
              <w:jc w:val="left"/>
              <w:rPr>
                <w:iCs/>
                <w:sz w:val="21"/>
                <w:szCs w:val="21"/>
                <w:lang w:val="en-US"/>
              </w:rPr>
            </w:pPr>
            <w:r>
              <w:rPr>
                <w:rFonts w:hint="eastAsia"/>
                <w:iCs/>
                <w:sz w:val="21"/>
                <w:szCs w:val="21"/>
                <w:lang w:val="en-US"/>
              </w:rPr>
              <w:t>(</w:t>
            </w:r>
            <w:r>
              <w:rPr>
                <w:iCs/>
                <w:sz w:val="21"/>
                <w:szCs w:val="21"/>
                <w:lang w:val="en-US"/>
              </w:rPr>
              <w:t>source CU1 cell -&gt;target CU1 cell*)</w:t>
            </w:r>
          </w:p>
        </w:tc>
        <w:tc>
          <w:tcPr>
            <w:tcW w:w="2384" w:type="dxa"/>
          </w:tcPr>
          <w:p w14:paraId="75BD129A" w14:textId="77777777" w:rsidR="006111B6" w:rsidRDefault="006E7348">
            <w:pPr>
              <w:spacing w:before="40" w:after="0" w:line="240" w:lineRule="auto"/>
              <w:jc w:val="left"/>
              <w:rPr>
                <w:iCs/>
                <w:sz w:val="21"/>
                <w:szCs w:val="21"/>
                <w:lang w:val="en-US"/>
              </w:rPr>
            </w:pPr>
            <w:r>
              <w:rPr>
                <w:iCs/>
                <w:sz w:val="21"/>
                <w:szCs w:val="21"/>
                <w:lang w:val="en-US"/>
              </w:rPr>
              <w:t>Inter-CU LTM failure</w:t>
            </w:r>
          </w:p>
          <w:p w14:paraId="717F84BF" w14:textId="77777777" w:rsidR="006111B6" w:rsidRDefault="006E7348">
            <w:pPr>
              <w:spacing w:before="40" w:after="0" w:line="240" w:lineRule="auto"/>
              <w:jc w:val="left"/>
              <w:rPr>
                <w:iCs/>
                <w:sz w:val="21"/>
                <w:szCs w:val="21"/>
                <w:lang w:val="en-US"/>
              </w:rPr>
            </w:pPr>
            <w:r>
              <w:rPr>
                <w:iCs/>
                <w:sz w:val="21"/>
                <w:szCs w:val="21"/>
                <w:lang w:val="en-US"/>
              </w:rPr>
              <w:t>(source CU1 cell 0-&gt;target CU2 cell*)</w:t>
            </w:r>
          </w:p>
        </w:tc>
      </w:tr>
      <w:tr w:rsidR="006111B6" w14:paraId="16DA2693" w14:textId="77777777">
        <w:tc>
          <w:tcPr>
            <w:tcW w:w="2465" w:type="dxa"/>
          </w:tcPr>
          <w:p w14:paraId="5FE58DD9" w14:textId="77777777" w:rsidR="006111B6" w:rsidRDefault="006E7348">
            <w:pPr>
              <w:spacing w:before="40" w:after="0" w:line="240" w:lineRule="auto"/>
              <w:jc w:val="left"/>
            </w:pPr>
            <w:r>
              <w:rPr>
                <w:iCs/>
                <w:sz w:val="21"/>
                <w:szCs w:val="21"/>
                <w:lang w:val="en-US"/>
              </w:rPr>
              <w:t>Selected CU1 cell**</w:t>
            </w:r>
            <w:r>
              <w:t xml:space="preserve"> </w:t>
            </w:r>
          </w:p>
          <w:p w14:paraId="047FAD7B" w14:textId="77777777" w:rsidR="006111B6" w:rsidRDefault="006E7348">
            <w:pPr>
              <w:spacing w:before="40" w:after="0" w:line="240" w:lineRule="auto"/>
              <w:jc w:val="left"/>
              <w:rPr>
                <w:iCs/>
                <w:sz w:val="21"/>
                <w:szCs w:val="21"/>
                <w:lang w:val="en-US"/>
              </w:rPr>
            </w:pPr>
            <w:r>
              <w:rPr>
                <w:sz w:val="16"/>
                <w:szCs w:val="13"/>
              </w:rPr>
              <w:t>(</w:t>
            </w:r>
            <w:r>
              <w:rPr>
                <w:iCs/>
                <w:sz w:val="15"/>
                <w:szCs w:val="15"/>
                <w:lang w:val="en-US"/>
              </w:rPr>
              <w:t xml:space="preserve">selects an </w:t>
            </w:r>
            <w:r>
              <w:rPr>
                <w:b/>
                <w:bCs/>
                <w:iCs/>
                <w:sz w:val="15"/>
                <w:szCs w:val="15"/>
                <w:lang w:val="en-US"/>
              </w:rPr>
              <w:t>intra-CU</w:t>
            </w:r>
            <w:r>
              <w:rPr>
                <w:iCs/>
                <w:sz w:val="15"/>
                <w:szCs w:val="15"/>
                <w:lang w:val="en-US"/>
              </w:rPr>
              <w:t xml:space="preserve"> candidate cell)</w:t>
            </w:r>
          </w:p>
        </w:tc>
        <w:tc>
          <w:tcPr>
            <w:tcW w:w="1925" w:type="dxa"/>
          </w:tcPr>
          <w:p w14:paraId="312EED86" w14:textId="77777777" w:rsidR="006111B6" w:rsidRDefault="006E7348">
            <w:pPr>
              <w:spacing w:before="40" w:after="0" w:line="240" w:lineRule="auto"/>
              <w:jc w:val="left"/>
              <w:rPr>
                <w:iCs/>
                <w:sz w:val="21"/>
                <w:szCs w:val="21"/>
                <w:lang w:val="en-US"/>
              </w:rPr>
            </w:pPr>
            <w:r>
              <w:rPr>
                <w:iCs/>
                <w:sz w:val="21"/>
                <w:szCs w:val="21"/>
                <w:lang w:val="en-US"/>
              </w:rPr>
              <w:t>Case 1</w:t>
            </w:r>
          </w:p>
        </w:tc>
        <w:tc>
          <w:tcPr>
            <w:tcW w:w="2855" w:type="dxa"/>
          </w:tcPr>
          <w:p w14:paraId="705AFD1A" w14:textId="77777777" w:rsidR="006111B6" w:rsidRDefault="006E7348">
            <w:pPr>
              <w:spacing w:before="40" w:after="0" w:line="240" w:lineRule="auto"/>
              <w:jc w:val="left"/>
              <w:rPr>
                <w:iCs/>
                <w:sz w:val="21"/>
                <w:szCs w:val="21"/>
                <w:lang w:val="en-US"/>
              </w:rPr>
            </w:pPr>
            <w:r>
              <w:rPr>
                <w:iCs/>
                <w:sz w:val="21"/>
                <w:szCs w:val="21"/>
                <w:lang w:val="en-US"/>
              </w:rPr>
              <w:t xml:space="preserve">Case 2 </w:t>
            </w:r>
            <w:r>
              <w:rPr>
                <w:b/>
                <w:bCs/>
                <w:iCs/>
                <w:sz w:val="21"/>
                <w:szCs w:val="21"/>
                <w:lang w:val="en-US"/>
              </w:rPr>
              <w:t>(Already supported)</w:t>
            </w:r>
          </w:p>
        </w:tc>
        <w:tc>
          <w:tcPr>
            <w:tcW w:w="2384" w:type="dxa"/>
          </w:tcPr>
          <w:p w14:paraId="6DACBCF6" w14:textId="77777777" w:rsidR="006111B6" w:rsidRDefault="006E7348">
            <w:pPr>
              <w:spacing w:before="40" w:after="0" w:line="240" w:lineRule="auto"/>
              <w:jc w:val="left"/>
              <w:rPr>
                <w:iCs/>
                <w:sz w:val="21"/>
                <w:szCs w:val="21"/>
                <w:lang w:val="en-US"/>
              </w:rPr>
            </w:pPr>
            <w:r>
              <w:rPr>
                <w:rFonts w:hint="eastAsia"/>
                <w:iCs/>
                <w:sz w:val="21"/>
                <w:szCs w:val="21"/>
                <w:lang w:val="en-US"/>
              </w:rPr>
              <w:t>C</w:t>
            </w:r>
            <w:r>
              <w:rPr>
                <w:iCs/>
                <w:sz w:val="21"/>
                <w:szCs w:val="21"/>
                <w:lang w:val="en-US"/>
              </w:rPr>
              <w:t>ase 3</w:t>
            </w:r>
          </w:p>
        </w:tc>
      </w:tr>
      <w:tr w:rsidR="006111B6" w14:paraId="15305E20" w14:textId="77777777">
        <w:tc>
          <w:tcPr>
            <w:tcW w:w="2465" w:type="dxa"/>
          </w:tcPr>
          <w:p w14:paraId="4A069CF5" w14:textId="77777777" w:rsidR="006111B6" w:rsidRDefault="006E7348">
            <w:pPr>
              <w:spacing w:before="40" w:after="0" w:line="240" w:lineRule="auto"/>
              <w:jc w:val="left"/>
              <w:rPr>
                <w:iCs/>
                <w:sz w:val="21"/>
                <w:szCs w:val="21"/>
                <w:lang w:val="en-US"/>
              </w:rPr>
            </w:pPr>
            <w:r>
              <w:rPr>
                <w:rFonts w:hint="eastAsia"/>
                <w:iCs/>
                <w:sz w:val="21"/>
                <w:szCs w:val="21"/>
                <w:lang w:val="en-US"/>
              </w:rPr>
              <w:t>S</w:t>
            </w:r>
            <w:r>
              <w:rPr>
                <w:iCs/>
                <w:sz w:val="21"/>
                <w:szCs w:val="21"/>
                <w:lang w:val="en-US"/>
              </w:rPr>
              <w:t>elected CU2 cell**</w:t>
            </w:r>
          </w:p>
          <w:p w14:paraId="7AC04EBF" w14:textId="77777777" w:rsidR="006111B6" w:rsidRDefault="006E7348">
            <w:pPr>
              <w:spacing w:before="40" w:after="0" w:line="240" w:lineRule="auto"/>
              <w:jc w:val="left"/>
              <w:rPr>
                <w:iCs/>
                <w:sz w:val="21"/>
                <w:szCs w:val="21"/>
                <w:lang w:val="en-US"/>
              </w:rPr>
            </w:pPr>
            <w:r>
              <w:rPr>
                <w:sz w:val="16"/>
                <w:szCs w:val="13"/>
              </w:rPr>
              <w:t>(</w:t>
            </w:r>
            <w:r>
              <w:rPr>
                <w:iCs/>
                <w:sz w:val="15"/>
                <w:szCs w:val="15"/>
                <w:lang w:val="en-US"/>
              </w:rPr>
              <w:t>selects an inter-CU candidate cell)</w:t>
            </w:r>
          </w:p>
        </w:tc>
        <w:tc>
          <w:tcPr>
            <w:tcW w:w="1925" w:type="dxa"/>
            <w:tcBorders>
              <w:tl2br w:val="single" w:sz="4" w:space="0" w:color="auto"/>
            </w:tcBorders>
          </w:tcPr>
          <w:p w14:paraId="3E99FD3B" w14:textId="77777777" w:rsidR="006111B6" w:rsidRDefault="006111B6">
            <w:pPr>
              <w:spacing w:before="40" w:after="0" w:line="240" w:lineRule="auto"/>
              <w:jc w:val="left"/>
              <w:rPr>
                <w:iCs/>
                <w:sz w:val="21"/>
                <w:szCs w:val="21"/>
                <w:lang w:val="en-US"/>
              </w:rPr>
            </w:pPr>
          </w:p>
        </w:tc>
        <w:tc>
          <w:tcPr>
            <w:tcW w:w="2855" w:type="dxa"/>
            <w:tcBorders>
              <w:tl2br w:val="single" w:sz="4" w:space="0" w:color="auto"/>
            </w:tcBorders>
          </w:tcPr>
          <w:p w14:paraId="3494A669" w14:textId="77777777" w:rsidR="006111B6" w:rsidRDefault="006111B6">
            <w:pPr>
              <w:spacing w:before="40" w:after="0" w:line="240" w:lineRule="auto"/>
              <w:jc w:val="left"/>
              <w:rPr>
                <w:iCs/>
                <w:sz w:val="21"/>
                <w:szCs w:val="21"/>
                <w:lang w:val="en-US"/>
              </w:rPr>
            </w:pPr>
          </w:p>
        </w:tc>
        <w:tc>
          <w:tcPr>
            <w:tcW w:w="2384" w:type="dxa"/>
          </w:tcPr>
          <w:p w14:paraId="45C0EC27" w14:textId="77777777" w:rsidR="006111B6" w:rsidRDefault="006E7348">
            <w:pPr>
              <w:spacing w:before="40" w:after="0" w:line="240" w:lineRule="auto"/>
              <w:jc w:val="left"/>
              <w:rPr>
                <w:iCs/>
                <w:sz w:val="21"/>
                <w:szCs w:val="21"/>
                <w:lang w:val="en-US"/>
              </w:rPr>
            </w:pPr>
            <w:r>
              <w:rPr>
                <w:rFonts w:hint="eastAsia"/>
                <w:iCs/>
                <w:sz w:val="21"/>
                <w:szCs w:val="21"/>
                <w:lang w:val="en-US"/>
              </w:rPr>
              <w:t>C</w:t>
            </w:r>
            <w:r>
              <w:rPr>
                <w:iCs/>
                <w:sz w:val="21"/>
                <w:szCs w:val="21"/>
                <w:lang w:val="en-US"/>
              </w:rPr>
              <w:t>ase 4</w:t>
            </w:r>
          </w:p>
        </w:tc>
      </w:tr>
      <w:tr w:rsidR="006111B6" w14:paraId="6C1695E5" w14:textId="77777777">
        <w:tc>
          <w:tcPr>
            <w:tcW w:w="2465" w:type="dxa"/>
          </w:tcPr>
          <w:p w14:paraId="7B97AFD0" w14:textId="77777777" w:rsidR="006111B6" w:rsidRDefault="006E7348">
            <w:pPr>
              <w:spacing w:before="40" w:after="0" w:line="240" w:lineRule="auto"/>
              <w:jc w:val="left"/>
              <w:rPr>
                <w:iCs/>
                <w:sz w:val="21"/>
                <w:szCs w:val="21"/>
                <w:lang w:val="en-US"/>
              </w:rPr>
            </w:pPr>
            <w:r>
              <w:rPr>
                <w:rFonts w:hint="eastAsia"/>
                <w:iCs/>
                <w:sz w:val="21"/>
                <w:szCs w:val="21"/>
                <w:lang w:val="en-US"/>
              </w:rPr>
              <w:t>S</w:t>
            </w:r>
            <w:r>
              <w:rPr>
                <w:iCs/>
                <w:sz w:val="21"/>
                <w:szCs w:val="21"/>
                <w:lang w:val="en-US"/>
              </w:rPr>
              <w:t>elected CU3 cell**</w:t>
            </w:r>
          </w:p>
          <w:p w14:paraId="26D52307" w14:textId="77777777" w:rsidR="006111B6" w:rsidRDefault="006E7348">
            <w:pPr>
              <w:spacing w:before="40" w:after="0" w:line="240" w:lineRule="auto"/>
              <w:jc w:val="left"/>
              <w:rPr>
                <w:iCs/>
                <w:sz w:val="15"/>
                <w:szCs w:val="15"/>
                <w:lang w:val="en-US"/>
              </w:rPr>
            </w:pPr>
            <w:r>
              <w:rPr>
                <w:sz w:val="16"/>
                <w:szCs w:val="13"/>
              </w:rPr>
              <w:t>(</w:t>
            </w:r>
            <w:r>
              <w:rPr>
                <w:iCs/>
                <w:sz w:val="15"/>
                <w:szCs w:val="15"/>
                <w:lang w:val="en-US"/>
              </w:rPr>
              <w:t>selects an inter-CU candidate cell)</w:t>
            </w:r>
          </w:p>
          <w:p w14:paraId="0540B5A1" w14:textId="04CD86E3" w:rsidR="00A74DD2" w:rsidRPr="00E94D68" w:rsidRDefault="00A74DD2">
            <w:pPr>
              <w:spacing w:before="40" w:after="0" w:line="240" w:lineRule="auto"/>
              <w:jc w:val="left"/>
              <w:rPr>
                <w:rFonts w:eastAsiaTheme="minorEastAsia"/>
                <w:iCs/>
                <w:sz w:val="21"/>
                <w:szCs w:val="21"/>
                <w:lang w:val="en-US" w:eastAsia="zh-CN"/>
              </w:rPr>
            </w:pPr>
            <w:r>
              <w:rPr>
                <w:rFonts w:eastAsiaTheme="minorEastAsia" w:hint="eastAsia"/>
                <w:iCs/>
                <w:sz w:val="15"/>
                <w:szCs w:val="15"/>
                <w:lang w:val="en-US"/>
              </w:rPr>
              <w:t>(</w:t>
            </w:r>
            <w:r>
              <w:rPr>
                <w:rFonts w:eastAsiaTheme="minorEastAsia"/>
                <w:iCs/>
                <w:sz w:val="15"/>
                <w:szCs w:val="15"/>
                <w:lang w:val="en-US"/>
              </w:rPr>
              <w:t xml:space="preserve">CU3: </w:t>
            </w:r>
            <w:r w:rsidRPr="00A74DD2">
              <w:rPr>
                <w:rFonts w:eastAsiaTheme="minorEastAsia"/>
                <w:iCs/>
                <w:sz w:val="15"/>
                <w:szCs w:val="15"/>
                <w:lang w:val="en-US"/>
              </w:rPr>
              <w:t>non-source/serving CU and non-target CU</w:t>
            </w:r>
            <w:r>
              <w:rPr>
                <w:rFonts w:eastAsiaTheme="minorEastAsia"/>
                <w:iCs/>
                <w:sz w:val="15"/>
                <w:szCs w:val="15"/>
                <w:lang w:val="en-US"/>
              </w:rPr>
              <w:t>)</w:t>
            </w:r>
          </w:p>
        </w:tc>
        <w:tc>
          <w:tcPr>
            <w:tcW w:w="1925" w:type="dxa"/>
          </w:tcPr>
          <w:p w14:paraId="1E8486BB" w14:textId="77777777" w:rsidR="006111B6" w:rsidRDefault="006E7348">
            <w:pPr>
              <w:spacing w:before="40" w:after="0" w:line="240" w:lineRule="auto"/>
              <w:jc w:val="left"/>
              <w:rPr>
                <w:rFonts w:eastAsiaTheme="minorEastAsia"/>
                <w:iCs/>
                <w:sz w:val="21"/>
                <w:szCs w:val="21"/>
                <w:lang w:val="en-US"/>
              </w:rPr>
            </w:pPr>
            <w:r>
              <w:rPr>
                <w:rFonts w:eastAsiaTheme="minorEastAsia"/>
                <w:iCs/>
                <w:sz w:val="21"/>
                <w:szCs w:val="21"/>
                <w:lang w:val="en-US"/>
              </w:rPr>
              <w:t>Case 5</w:t>
            </w:r>
          </w:p>
        </w:tc>
        <w:tc>
          <w:tcPr>
            <w:tcW w:w="2855" w:type="dxa"/>
          </w:tcPr>
          <w:p w14:paraId="5D3171F9" w14:textId="77777777" w:rsidR="006111B6" w:rsidRDefault="006E7348">
            <w:pPr>
              <w:spacing w:before="40" w:after="0" w:line="240" w:lineRule="auto"/>
              <w:jc w:val="left"/>
              <w:rPr>
                <w:iCs/>
                <w:sz w:val="21"/>
                <w:szCs w:val="21"/>
                <w:lang w:val="en-US"/>
              </w:rPr>
            </w:pPr>
            <w:r>
              <w:rPr>
                <w:rFonts w:hint="eastAsia"/>
                <w:iCs/>
                <w:sz w:val="21"/>
                <w:szCs w:val="21"/>
                <w:lang w:val="en-US"/>
              </w:rPr>
              <w:t>C</w:t>
            </w:r>
            <w:r>
              <w:rPr>
                <w:iCs/>
                <w:sz w:val="21"/>
                <w:szCs w:val="21"/>
                <w:lang w:val="en-US"/>
              </w:rPr>
              <w:t>ase 6</w:t>
            </w:r>
          </w:p>
        </w:tc>
        <w:tc>
          <w:tcPr>
            <w:tcW w:w="2384" w:type="dxa"/>
          </w:tcPr>
          <w:p w14:paraId="4CEE4695" w14:textId="77777777" w:rsidR="006111B6" w:rsidRDefault="006E7348">
            <w:pPr>
              <w:spacing w:before="40" w:after="0" w:line="240" w:lineRule="auto"/>
              <w:jc w:val="left"/>
              <w:rPr>
                <w:iCs/>
                <w:sz w:val="21"/>
                <w:szCs w:val="21"/>
                <w:lang w:val="en-US"/>
              </w:rPr>
            </w:pPr>
            <w:r>
              <w:rPr>
                <w:rFonts w:hint="eastAsia"/>
                <w:iCs/>
                <w:sz w:val="21"/>
                <w:szCs w:val="21"/>
                <w:lang w:val="en-US"/>
              </w:rPr>
              <w:t>C</w:t>
            </w:r>
            <w:r>
              <w:rPr>
                <w:iCs/>
                <w:sz w:val="21"/>
                <w:szCs w:val="21"/>
                <w:lang w:val="en-US"/>
              </w:rPr>
              <w:t>ase 7</w:t>
            </w:r>
          </w:p>
        </w:tc>
      </w:tr>
    </w:tbl>
    <w:p w14:paraId="3981753E" w14:textId="77777777" w:rsidR="006111B6" w:rsidRDefault="006111B6">
      <w:pPr>
        <w:spacing w:before="40" w:after="0" w:line="240" w:lineRule="auto"/>
        <w:jc w:val="left"/>
        <w:rPr>
          <w:b/>
          <w:bCs/>
          <w:iCs/>
          <w:sz w:val="21"/>
          <w:szCs w:val="21"/>
          <w:lang w:val="en-US"/>
        </w:rPr>
      </w:pPr>
    </w:p>
    <w:bookmarkEnd w:id="6"/>
    <w:p w14:paraId="367B9986" w14:textId="77777777" w:rsidR="006111B6" w:rsidRPr="00A94D69" w:rsidRDefault="006E7348">
      <w:pPr>
        <w:spacing w:before="120"/>
        <w:rPr>
          <w:b/>
          <w:i/>
          <w:iCs/>
          <w:sz w:val="20"/>
        </w:rPr>
      </w:pPr>
      <w:r w:rsidRPr="00A94D69">
        <w:rPr>
          <w:b/>
          <w:i/>
          <w:iCs/>
          <w:sz w:val="20"/>
        </w:rPr>
        <w:t>For Case1</w:t>
      </w:r>
      <w:r w:rsidRPr="00A94D69">
        <w:rPr>
          <w:b/>
          <w:i/>
          <w:iCs/>
          <w:sz w:val="20"/>
        </w:rPr>
        <w:t>：</w:t>
      </w:r>
    </w:p>
    <w:p w14:paraId="3EBD86E4" w14:textId="441FE596" w:rsidR="006111B6" w:rsidRPr="00A94D69" w:rsidRDefault="006E7348">
      <w:pPr>
        <w:spacing w:before="120"/>
        <w:rPr>
          <w:bCs/>
          <w:sz w:val="20"/>
        </w:rPr>
      </w:pPr>
      <w:r w:rsidRPr="00A94D69">
        <w:rPr>
          <w:bCs/>
          <w:sz w:val="20"/>
        </w:rPr>
        <w:t>Case 1 has been supported in Rel-18 LTM. In Rel-19, Case 1 can also be considered, if the UE selects an intra-CU LTM candidate cell after radio link failure of the MCG, the Rel-18 handling on failure can also be reused.</w:t>
      </w:r>
    </w:p>
    <w:p w14:paraId="07ECB12C" w14:textId="5E03F0A7" w:rsidR="006111B6" w:rsidRPr="00A94D69" w:rsidRDefault="006E7348" w:rsidP="00B63C77">
      <w:pPr>
        <w:spacing w:before="120"/>
        <w:jc w:val="left"/>
        <w:rPr>
          <w:b/>
          <w:sz w:val="20"/>
        </w:rPr>
      </w:pPr>
      <w:r w:rsidRPr="00A94D69">
        <w:rPr>
          <w:b/>
          <w:sz w:val="20"/>
        </w:rPr>
        <w:t xml:space="preserve">Observation 2a: The Rel-18 handling on failure </w:t>
      </w:r>
      <w:r w:rsidR="005D18FD" w:rsidRPr="00A94D69">
        <w:rPr>
          <w:b/>
          <w:sz w:val="20"/>
        </w:rPr>
        <w:t>can be</w:t>
      </w:r>
      <w:r w:rsidRPr="00A94D69">
        <w:rPr>
          <w:b/>
          <w:sz w:val="20"/>
        </w:rPr>
        <w:t xml:space="preserve"> reused in R</w:t>
      </w:r>
      <w:r w:rsidR="005D18FD" w:rsidRPr="00A94D69">
        <w:rPr>
          <w:b/>
          <w:sz w:val="20"/>
        </w:rPr>
        <w:t>el-</w:t>
      </w:r>
      <w:r w:rsidRPr="00A94D69">
        <w:rPr>
          <w:b/>
          <w:sz w:val="20"/>
        </w:rPr>
        <w:t>19 for case 1.</w:t>
      </w:r>
    </w:p>
    <w:p w14:paraId="1E559E62" w14:textId="77777777" w:rsidR="006111B6" w:rsidRPr="00A94D69" w:rsidRDefault="006111B6">
      <w:pPr>
        <w:spacing w:before="40" w:after="0" w:line="240" w:lineRule="auto"/>
        <w:jc w:val="left"/>
        <w:rPr>
          <w:b/>
          <w:sz w:val="20"/>
        </w:rPr>
      </w:pPr>
    </w:p>
    <w:p w14:paraId="55A9CE52" w14:textId="369840DB" w:rsidR="006111B6" w:rsidRPr="00A94D69" w:rsidRDefault="006E7348">
      <w:pPr>
        <w:spacing w:before="40" w:after="0" w:line="240" w:lineRule="auto"/>
        <w:jc w:val="left"/>
        <w:rPr>
          <w:b/>
          <w:bCs/>
          <w:i/>
          <w:sz w:val="20"/>
          <w:lang w:val="en-US"/>
        </w:rPr>
      </w:pPr>
      <w:r w:rsidRPr="00A94D69">
        <w:rPr>
          <w:b/>
          <w:bCs/>
          <w:i/>
          <w:sz w:val="20"/>
          <w:lang w:val="en-US"/>
        </w:rPr>
        <w:lastRenderedPageBreak/>
        <w:t>For Case 2:</w:t>
      </w:r>
    </w:p>
    <w:p w14:paraId="6E5D0CE2" w14:textId="60A67A2E" w:rsidR="006111B6" w:rsidRPr="00A94D69" w:rsidRDefault="006E7348" w:rsidP="00A94D69">
      <w:pPr>
        <w:spacing w:before="120"/>
        <w:rPr>
          <w:bCs/>
          <w:sz w:val="20"/>
        </w:rPr>
      </w:pPr>
      <w:r w:rsidRPr="00A94D69">
        <w:rPr>
          <w:bCs/>
          <w:sz w:val="20"/>
        </w:rPr>
        <w:t>Case 2 has been confirmed in RAN2#127bis meeting: The Rel-18 handling on failure is reused in R</w:t>
      </w:r>
      <w:r w:rsidR="005D18FD" w:rsidRPr="00A94D69">
        <w:rPr>
          <w:bCs/>
          <w:sz w:val="20"/>
        </w:rPr>
        <w:t>el-</w:t>
      </w:r>
      <w:r w:rsidRPr="00A94D69">
        <w:rPr>
          <w:bCs/>
          <w:sz w:val="20"/>
        </w:rPr>
        <w:t>19 if the UE selects an intra-CU LTM candidate cell after intra-CU LTM failure.</w:t>
      </w:r>
    </w:p>
    <w:p w14:paraId="02C425ED" w14:textId="77777777" w:rsidR="006111B6" w:rsidRPr="00A94D69" w:rsidRDefault="006111B6">
      <w:pPr>
        <w:spacing w:before="40" w:after="0" w:line="240" w:lineRule="auto"/>
        <w:jc w:val="left"/>
        <w:rPr>
          <w:b/>
          <w:bCs/>
          <w:i/>
          <w:sz w:val="20"/>
          <w:lang w:val="en-US"/>
        </w:rPr>
      </w:pPr>
    </w:p>
    <w:p w14:paraId="39EFB743" w14:textId="77777777" w:rsidR="006111B6" w:rsidRPr="00A94D69" w:rsidRDefault="006E7348">
      <w:pPr>
        <w:spacing w:before="40" w:after="0" w:line="240" w:lineRule="auto"/>
        <w:jc w:val="left"/>
        <w:rPr>
          <w:b/>
          <w:bCs/>
          <w:i/>
          <w:sz w:val="20"/>
          <w:lang w:val="en-US"/>
        </w:rPr>
      </w:pPr>
      <w:r w:rsidRPr="00A94D69">
        <w:rPr>
          <w:b/>
          <w:bCs/>
          <w:i/>
          <w:sz w:val="20"/>
          <w:lang w:val="en-US"/>
        </w:rPr>
        <w:t>For Case 3~4:</w:t>
      </w:r>
    </w:p>
    <w:p w14:paraId="3C5647BB" w14:textId="77777777" w:rsidR="006111B6" w:rsidRDefault="006E7348">
      <w:pPr>
        <w:spacing w:before="40" w:after="0" w:line="240" w:lineRule="auto"/>
        <w:jc w:val="center"/>
        <w:rPr>
          <w:iCs/>
          <w:sz w:val="21"/>
          <w:szCs w:val="21"/>
          <w:lang w:val="en-US"/>
        </w:rPr>
      </w:pPr>
      <w:r>
        <w:rPr>
          <w:iCs/>
          <w:noProof/>
          <w:sz w:val="21"/>
          <w:szCs w:val="21"/>
          <w:lang w:val="en-US"/>
        </w:rPr>
        <w:drawing>
          <wp:inline distT="0" distB="0" distL="0" distR="0" wp14:anchorId="7250D37D" wp14:editId="21CE4851">
            <wp:extent cx="3937000" cy="1630045"/>
            <wp:effectExtent l="0" t="0" r="635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950010" cy="1635581"/>
                    </a:xfrm>
                    <a:prstGeom prst="rect">
                      <a:avLst/>
                    </a:prstGeom>
                    <a:noFill/>
                  </pic:spPr>
                </pic:pic>
              </a:graphicData>
            </a:graphic>
          </wp:inline>
        </w:drawing>
      </w:r>
    </w:p>
    <w:p w14:paraId="550A98DD" w14:textId="77777777" w:rsidR="006111B6" w:rsidRDefault="006E7348">
      <w:pPr>
        <w:spacing w:before="40" w:after="0" w:line="240" w:lineRule="auto"/>
        <w:jc w:val="center"/>
        <w:rPr>
          <w:b/>
          <w:bCs/>
          <w:iCs/>
          <w:sz w:val="21"/>
          <w:szCs w:val="21"/>
          <w:lang w:val="en-US"/>
        </w:rPr>
      </w:pPr>
      <w:r>
        <w:rPr>
          <w:rFonts w:hint="eastAsia"/>
          <w:b/>
          <w:bCs/>
          <w:iCs/>
          <w:sz w:val="21"/>
          <w:szCs w:val="21"/>
          <w:lang w:val="en-US"/>
        </w:rPr>
        <w:t>F</w:t>
      </w:r>
      <w:r>
        <w:rPr>
          <w:b/>
          <w:bCs/>
          <w:iCs/>
          <w:sz w:val="21"/>
          <w:szCs w:val="21"/>
          <w:lang w:val="en-US"/>
        </w:rPr>
        <w:t>igure 2a: Case 3 of LTM based failure recovery</w:t>
      </w:r>
    </w:p>
    <w:p w14:paraId="12973E83" w14:textId="77777777" w:rsidR="006111B6" w:rsidRDefault="006E7348">
      <w:pPr>
        <w:spacing w:before="40" w:after="0" w:line="240" w:lineRule="auto"/>
        <w:jc w:val="center"/>
        <w:rPr>
          <w:iCs/>
          <w:sz w:val="21"/>
          <w:szCs w:val="21"/>
          <w:lang w:val="en-US"/>
        </w:rPr>
      </w:pPr>
      <w:r>
        <w:rPr>
          <w:iCs/>
          <w:noProof/>
          <w:sz w:val="21"/>
          <w:szCs w:val="21"/>
          <w:lang w:val="en-US"/>
        </w:rPr>
        <w:drawing>
          <wp:inline distT="0" distB="0" distL="0" distR="0" wp14:anchorId="01B9001B" wp14:editId="3145B386">
            <wp:extent cx="3997960" cy="1701800"/>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022641" cy="1712175"/>
                    </a:xfrm>
                    <a:prstGeom prst="rect">
                      <a:avLst/>
                    </a:prstGeom>
                    <a:noFill/>
                  </pic:spPr>
                </pic:pic>
              </a:graphicData>
            </a:graphic>
          </wp:inline>
        </w:drawing>
      </w:r>
    </w:p>
    <w:p w14:paraId="4F45F477" w14:textId="77777777" w:rsidR="006111B6" w:rsidRDefault="006E7348">
      <w:pPr>
        <w:spacing w:before="40" w:after="0" w:line="240" w:lineRule="auto"/>
        <w:jc w:val="center"/>
        <w:rPr>
          <w:b/>
          <w:bCs/>
          <w:iCs/>
          <w:sz w:val="21"/>
          <w:szCs w:val="21"/>
          <w:lang w:val="en-US"/>
        </w:rPr>
      </w:pPr>
      <w:r>
        <w:rPr>
          <w:b/>
          <w:bCs/>
          <w:iCs/>
          <w:sz w:val="21"/>
          <w:szCs w:val="21"/>
          <w:lang w:val="en-US"/>
        </w:rPr>
        <w:t>Figure 2b: Case 4 of LTM based failure recovery</w:t>
      </w:r>
    </w:p>
    <w:p w14:paraId="49C06102" w14:textId="77777777" w:rsidR="006111B6" w:rsidRDefault="006111B6">
      <w:pPr>
        <w:spacing w:before="40" w:after="0" w:line="240" w:lineRule="auto"/>
        <w:jc w:val="left"/>
        <w:rPr>
          <w:iCs/>
          <w:sz w:val="21"/>
          <w:szCs w:val="21"/>
          <w:lang w:val="en-US"/>
        </w:rPr>
      </w:pPr>
    </w:p>
    <w:p w14:paraId="74565327" w14:textId="77777777" w:rsidR="006111B6" w:rsidRPr="003F6173" w:rsidRDefault="006E7348" w:rsidP="003F6173">
      <w:pPr>
        <w:spacing w:before="120"/>
        <w:rPr>
          <w:bCs/>
          <w:sz w:val="20"/>
        </w:rPr>
      </w:pPr>
      <w:r w:rsidRPr="003F6173">
        <w:rPr>
          <w:bCs/>
          <w:sz w:val="20"/>
        </w:rPr>
        <w:t>T</w:t>
      </w:r>
      <w:r w:rsidRPr="003F6173">
        <w:rPr>
          <w:rFonts w:hint="eastAsia"/>
          <w:bCs/>
          <w:sz w:val="20"/>
        </w:rPr>
        <w:t>he</w:t>
      </w:r>
      <w:r w:rsidRPr="003F6173">
        <w:rPr>
          <w:bCs/>
          <w:sz w:val="20"/>
        </w:rPr>
        <w:t xml:space="preserve"> Figure 2</w:t>
      </w:r>
      <w:r w:rsidRPr="003F6173">
        <w:rPr>
          <w:rFonts w:hint="eastAsia"/>
          <w:bCs/>
          <w:sz w:val="20"/>
        </w:rPr>
        <w:t>a</w:t>
      </w:r>
      <w:r w:rsidRPr="003F6173">
        <w:rPr>
          <w:bCs/>
          <w:sz w:val="20"/>
        </w:rPr>
        <w:t xml:space="preserve"> </w:t>
      </w:r>
      <w:r w:rsidRPr="003F6173">
        <w:rPr>
          <w:rFonts w:hint="eastAsia"/>
          <w:bCs/>
          <w:sz w:val="20"/>
        </w:rPr>
        <w:t>and</w:t>
      </w:r>
      <w:r w:rsidRPr="003F6173">
        <w:rPr>
          <w:bCs/>
          <w:sz w:val="20"/>
        </w:rPr>
        <w:t xml:space="preserve"> </w:t>
      </w:r>
      <w:r w:rsidRPr="003F6173">
        <w:rPr>
          <w:rFonts w:hint="eastAsia"/>
          <w:bCs/>
          <w:sz w:val="20"/>
        </w:rPr>
        <w:t>Figure</w:t>
      </w:r>
      <w:r w:rsidRPr="003F6173">
        <w:rPr>
          <w:bCs/>
          <w:sz w:val="20"/>
        </w:rPr>
        <w:t xml:space="preserve"> 2</w:t>
      </w:r>
      <w:r w:rsidRPr="003F6173">
        <w:rPr>
          <w:rFonts w:hint="eastAsia"/>
          <w:bCs/>
          <w:sz w:val="20"/>
        </w:rPr>
        <w:t>b</w:t>
      </w:r>
      <w:r w:rsidRPr="003F6173">
        <w:rPr>
          <w:bCs/>
          <w:sz w:val="20"/>
        </w:rPr>
        <w:t xml:space="preserve"> </w:t>
      </w:r>
      <w:r w:rsidRPr="003F6173">
        <w:rPr>
          <w:rFonts w:hint="eastAsia"/>
          <w:bCs/>
          <w:sz w:val="20"/>
        </w:rPr>
        <w:t>show</w:t>
      </w:r>
      <w:r w:rsidRPr="003F6173">
        <w:rPr>
          <w:bCs/>
          <w:sz w:val="20"/>
        </w:rPr>
        <w:t xml:space="preserve"> </w:t>
      </w:r>
      <w:r w:rsidRPr="003F6173">
        <w:rPr>
          <w:rFonts w:hint="eastAsia"/>
          <w:bCs/>
          <w:sz w:val="20"/>
        </w:rPr>
        <w:t>the</w:t>
      </w:r>
      <w:r w:rsidRPr="003F6173">
        <w:rPr>
          <w:bCs/>
          <w:sz w:val="20"/>
        </w:rPr>
        <w:t xml:space="preserve"> </w:t>
      </w:r>
      <w:r w:rsidRPr="003F6173">
        <w:rPr>
          <w:rFonts w:hint="eastAsia"/>
          <w:bCs/>
          <w:sz w:val="20"/>
        </w:rPr>
        <w:t>Case</w:t>
      </w:r>
      <w:r w:rsidRPr="003F6173">
        <w:rPr>
          <w:bCs/>
          <w:sz w:val="20"/>
        </w:rPr>
        <w:t xml:space="preserve"> 3 </w:t>
      </w:r>
      <w:r w:rsidRPr="003F6173">
        <w:rPr>
          <w:rFonts w:hint="eastAsia"/>
          <w:bCs/>
          <w:sz w:val="20"/>
        </w:rPr>
        <w:t>and</w:t>
      </w:r>
      <w:r w:rsidRPr="003F6173">
        <w:rPr>
          <w:bCs/>
          <w:sz w:val="20"/>
        </w:rPr>
        <w:t xml:space="preserve"> </w:t>
      </w:r>
      <w:r w:rsidRPr="003F6173">
        <w:rPr>
          <w:rFonts w:hint="eastAsia"/>
          <w:bCs/>
          <w:sz w:val="20"/>
        </w:rPr>
        <w:t>Case</w:t>
      </w:r>
      <w:r w:rsidRPr="003F6173">
        <w:rPr>
          <w:bCs/>
          <w:sz w:val="20"/>
        </w:rPr>
        <w:t xml:space="preserve"> 4 </w:t>
      </w:r>
      <w:r w:rsidRPr="003F6173">
        <w:rPr>
          <w:rFonts w:hint="eastAsia"/>
          <w:bCs/>
          <w:sz w:val="20"/>
        </w:rPr>
        <w:t>separately.</w:t>
      </w:r>
      <w:r w:rsidRPr="003F6173">
        <w:rPr>
          <w:bCs/>
          <w:sz w:val="20"/>
        </w:rPr>
        <w:t xml:space="preserve"> The difference between Case 3 and Case 4 is whether the selected candidate cell is from the source CU1 or target CU2. </w:t>
      </w:r>
    </w:p>
    <w:p w14:paraId="2EC0FFAC" w14:textId="6DAA2CA5" w:rsidR="006111B6" w:rsidRPr="003F6173" w:rsidRDefault="006E7348">
      <w:pPr>
        <w:pStyle w:val="af8"/>
        <w:numPr>
          <w:ilvl w:val="0"/>
          <w:numId w:val="8"/>
        </w:numPr>
        <w:spacing w:before="40"/>
        <w:ind w:firstLineChars="0"/>
        <w:rPr>
          <w:iCs/>
          <w:sz w:val="20"/>
          <w:szCs w:val="20"/>
          <w:lang w:val="en-US"/>
        </w:rPr>
      </w:pPr>
      <w:r w:rsidRPr="003F6173">
        <w:rPr>
          <w:iCs/>
          <w:sz w:val="20"/>
          <w:szCs w:val="20"/>
          <w:lang w:val="en-US"/>
        </w:rPr>
        <w:t>For Case 3, the selected LTM candidate cell** for recovery can reuse the security key of source cell.</w:t>
      </w:r>
    </w:p>
    <w:p w14:paraId="3D1D30BE" w14:textId="347FB266" w:rsidR="006111B6" w:rsidRPr="003F6173" w:rsidRDefault="006E7348">
      <w:pPr>
        <w:pStyle w:val="af8"/>
        <w:numPr>
          <w:ilvl w:val="0"/>
          <w:numId w:val="8"/>
        </w:numPr>
        <w:spacing w:before="40"/>
        <w:ind w:firstLineChars="0"/>
        <w:rPr>
          <w:iCs/>
          <w:sz w:val="20"/>
          <w:szCs w:val="20"/>
          <w:lang w:val="en-US"/>
        </w:rPr>
      </w:pPr>
      <w:r w:rsidRPr="003F6173">
        <w:rPr>
          <w:rFonts w:hint="eastAsia"/>
          <w:iCs/>
          <w:sz w:val="20"/>
          <w:szCs w:val="20"/>
          <w:lang w:val="en-US"/>
        </w:rPr>
        <w:t>F</w:t>
      </w:r>
      <w:r w:rsidRPr="003F6173">
        <w:rPr>
          <w:iCs/>
          <w:sz w:val="20"/>
          <w:szCs w:val="20"/>
          <w:lang w:val="en-US"/>
        </w:rPr>
        <w:t>or Case 4, the selected LTM candidate cell** for recovery can reuse the security key of targer cell, which is generated based on the NCC in LTM CSC.</w:t>
      </w:r>
    </w:p>
    <w:tbl>
      <w:tblPr>
        <w:tblStyle w:val="af3"/>
        <w:tblpPr w:leftFromText="180" w:rightFromText="180" w:vertAnchor="text" w:horzAnchor="margin" w:tblpY="151"/>
        <w:tblW w:w="9629" w:type="dxa"/>
        <w:tblLayout w:type="fixed"/>
        <w:tblLook w:val="04A0" w:firstRow="1" w:lastRow="0" w:firstColumn="1" w:lastColumn="0" w:noHBand="0" w:noVBand="1"/>
      </w:tblPr>
      <w:tblGrid>
        <w:gridCol w:w="9629"/>
      </w:tblGrid>
      <w:tr w:rsidR="006111B6" w14:paraId="0915775C" w14:textId="77777777">
        <w:tc>
          <w:tcPr>
            <w:tcW w:w="9629" w:type="dxa"/>
          </w:tcPr>
          <w:p w14:paraId="23E3B8E6" w14:textId="77777777" w:rsidR="006111B6" w:rsidRDefault="006E7348">
            <w:pPr>
              <w:spacing w:after="180" w:line="240" w:lineRule="auto"/>
              <w:jc w:val="left"/>
              <w:rPr>
                <w:b/>
                <w:bCs/>
                <w:i/>
                <w:sz w:val="20"/>
                <w:lang w:val="en-US"/>
              </w:rPr>
            </w:pPr>
            <w:r>
              <w:rPr>
                <w:b/>
                <w:bCs/>
                <w:i/>
                <w:sz w:val="20"/>
                <w:lang w:val="en-US"/>
              </w:rPr>
              <w:t>In 3GPP TS 38.331</w:t>
            </w:r>
          </w:p>
          <w:p w14:paraId="72391B28" w14:textId="77777777" w:rsidR="006111B6" w:rsidRDefault="006E7348">
            <w:pPr>
              <w:spacing w:after="180" w:line="240" w:lineRule="auto"/>
              <w:jc w:val="left"/>
              <w:rPr>
                <w:b/>
                <w:bCs/>
                <w:iCs/>
                <w:sz w:val="20"/>
                <w:lang w:val="en-US"/>
              </w:rPr>
            </w:pPr>
            <w:r>
              <w:rPr>
                <w:b/>
                <w:bCs/>
                <w:iCs/>
                <w:sz w:val="20"/>
                <w:lang w:val="en-US"/>
              </w:rPr>
              <w:t>5.3.5.8.3 T304 expiry (Reconfiguration with sync Failure) or T420 expiry (Path switch failure)</w:t>
            </w:r>
          </w:p>
          <w:p w14:paraId="13D3B1F0" w14:textId="77777777" w:rsidR="006111B6" w:rsidRDefault="006E7348">
            <w:pPr>
              <w:spacing w:after="180" w:line="240" w:lineRule="auto"/>
              <w:jc w:val="left"/>
              <w:rPr>
                <w:iCs/>
                <w:sz w:val="20"/>
                <w:lang w:val="en-US"/>
              </w:rPr>
            </w:pPr>
            <w:r>
              <w:rPr>
                <w:iCs/>
                <w:sz w:val="20"/>
                <w:lang w:val="en-US"/>
              </w:rPr>
              <w:t xml:space="preserve">The UE shall: </w:t>
            </w:r>
          </w:p>
          <w:p w14:paraId="3B5E06F3" w14:textId="77777777" w:rsidR="006111B6" w:rsidRDefault="006E7348">
            <w:pPr>
              <w:spacing w:after="180" w:line="240" w:lineRule="auto"/>
              <w:jc w:val="left"/>
              <w:rPr>
                <w:iCs/>
                <w:sz w:val="20"/>
                <w:lang w:val="en-US"/>
              </w:rPr>
            </w:pPr>
            <w:r>
              <w:rPr>
                <w:iCs/>
                <w:sz w:val="20"/>
                <w:lang w:val="en-US"/>
              </w:rPr>
              <w:t>……</w:t>
            </w:r>
          </w:p>
          <w:p w14:paraId="213D6C0D" w14:textId="77777777" w:rsidR="006111B6" w:rsidRDefault="006E7348">
            <w:pPr>
              <w:spacing w:after="180" w:line="240" w:lineRule="auto"/>
              <w:ind w:leftChars="300" w:left="660"/>
              <w:jc w:val="left"/>
              <w:rPr>
                <w:iCs/>
                <w:sz w:val="20"/>
                <w:highlight w:val="yellow"/>
                <w:lang w:val="en-US"/>
              </w:rPr>
            </w:pPr>
            <w:r>
              <w:rPr>
                <w:iCs/>
                <w:sz w:val="20"/>
                <w:highlight w:val="yellow"/>
                <w:lang w:val="en-US"/>
              </w:rPr>
              <w:t xml:space="preserve">3&gt; if </w:t>
            </w:r>
            <w:r>
              <w:rPr>
                <w:i/>
                <w:sz w:val="20"/>
                <w:highlight w:val="yellow"/>
                <w:lang w:val="en-US"/>
              </w:rPr>
              <w:t>attemptLTM-Switch</w:t>
            </w:r>
            <w:r>
              <w:rPr>
                <w:iCs/>
                <w:sz w:val="20"/>
                <w:highlight w:val="yellow"/>
                <w:lang w:val="en-US"/>
              </w:rPr>
              <w:t xml:space="preserve"> is configured and the T304 of the MCG expiry is caused by an LTM cell switch execution triggered by an indication from lower layers as described in 5.3.5.18.6: </w:t>
            </w:r>
          </w:p>
          <w:p w14:paraId="4C66E50C" w14:textId="77777777" w:rsidR="006111B6" w:rsidRDefault="006E7348">
            <w:pPr>
              <w:spacing w:after="180" w:line="240" w:lineRule="auto"/>
              <w:ind w:leftChars="449" w:left="988"/>
              <w:jc w:val="left"/>
              <w:rPr>
                <w:iCs/>
                <w:sz w:val="20"/>
                <w:lang w:val="en-US"/>
              </w:rPr>
            </w:pPr>
            <w:r>
              <w:rPr>
                <w:iCs/>
                <w:sz w:val="20"/>
                <w:highlight w:val="yellow"/>
                <w:lang w:val="en-US"/>
              </w:rPr>
              <w:t>4&gt; revert back to the UE configuration used in the source PCell except for the PDCP state variables for SRB(s) associated to the MCG;</w:t>
            </w:r>
            <w:r>
              <w:rPr>
                <w:iCs/>
                <w:sz w:val="20"/>
                <w:lang w:val="en-US"/>
              </w:rPr>
              <w:t xml:space="preserve"> </w:t>
            </w:r>
          </w:p>
          <w:p w14:paraId="226DCB49" w14:textId="77777777" w:rsidR="006111B6" w:rsidRDefault="006E7348">
            <w:pPr>
              <w:spacing w:after="180" w:line="240" w:lineRule="auto"/>
              <w:ind w:leftChars="300" w:left="660"/>
              <w:jc w:val="left"/>
              <w:rPr>
                <w:iCs/>
                <w:sz w:val="20"/>
                <w:lang w:val="en-US"/>
              </w:rPr>
            </w:pPr>
            <w:r>
              <w:rPr>
                <w:iCs/>
                <w:sz w:val="20"/>
                <w:lang w:val="en-US"/>
              </w:rPr>
              <w:t xml:space="preserve">3&gt; else: </w:t>
            </w:r>
          </w:p>
          <w:p w14:paraId="691C85C3" w14:textId="77777777" w:rsidR="006111B6" w:rsidRDefault="006E7348">
            <w:pPr>
              <w:spacing w:after="180" w:line="240" w:lineRule="auto"/>
              <w:ind w:leftChars="449" w:left="988"/>
              <w:jc w:val="left"/>
              <w:rPr>
                <w:iCs/>
                <w:sz w:val="20"/>
                <w:lang w:val="en-US"/>
              </w:rPr>
            </w:pPr>
            <w:r>
              <w:rPr>
                <w:iCs/>
                <w:sz w:val="20"/>
                <w:lang w:val="en-US"/>
              </w:rPr>
              <w:t>4&gt; revert back to the UE configuration used in the source PCell;</w:t>
            </w:r>
          </w:p>
          <w:p w14:paraId="0644664E" w14:textId="77777777" w:rsidR="006111B6" w:rsidRDefault="006111B6">
            <w:pPr>
              <w:spacing w:before="40" w:after="0" w:line="240" w:lineRule="auto"/>
              <w:jc w:val="left"/>
              <w:rPr>
                <w:iCs/>
                <w:sz w:val="21"/>
                <w:szCs w:val="21"/>
                <w:lang w:val="en-US"/>
              </w:rPr>
            </w:pPr>
          </w:p>
        </w:tc>
      </w:tr>
    </w:tbl>
    <w:p w14:paraId="1790C0AB" w14:textId="77777777" w:rsidR="006111B6" w:rsidRDefault="006111B6">
      <w:pPr>
        <w:spacing w:before="40" w:after="0" w:line="240" w:lineRule="auto"/>
        <w:jc w:val="left"/>
        <w:rPr>
          <w:iCs/>
          <w:sz w:val="21"/>
          <w:szCs w:val="21"/>
          <w:lang w:val="en-US"/>
        </w:rPr>
      </w:pPr>
    </w:p>
    <w:p w14:paraId="002CD0C8" w14:textId="42C9EF6E" w:rsidR="005D18FD" w:rsidRPr="003F6173" w:rsidRDefault="006E7348" w:rsidP="003F6173">
      <w:pPr>
        <w:spacing w:before="120"/>
        <w:jc w:val="left"/>
        <w:rPr>
          <w:iCs/>
          <w:sz w:val="20"/>
          <w:lang w:val="en-US"/>
        </w:rPr>
      </w:pPr>
      <w:r w:rsidRPr="003F6173">
        <w:rPr>
          <w:iCs/>
          <w:sz w:val="20"/>
          <w:lang w:val="en-US"/>
        </w:rPr>
        <w:t xml:space="preserve">In TS 38.331, upon detection </w:t>
      </w:r>
      <w:r w:rsidR="005D18FD" w:rsidRPr="003F6173">
        <w:rPr>
          <w:iCs/>
          <w:sz w:val="20"/>
          <w:lang w:val="en-US"/>
        </w:rPr>
        <w:t xml:space="preserve">an </w:t>
      </w:r>
      <w:r w:rsidRPr="003F6173">
        <w:rPr>
          <w:iCs/>
          <w:sz w:val="20"/>
          <w:lang w:val="en-US"/>
        </w:rPr>
        <w:t xml:space="preserve">LTM Failure, the UE shall revert back to the UE configuration used in the source PCell except for the PDCP state variables for SRB(s) associated to the MCG. In other words, </w:t>
      </w:r>
      <w:r w:rsidR="00CF266E" w:rsidRPr="003F6173">
        <w:rPr>
          <w:iCs/>
          <w:sz w:val="20"/>
          <w:lang w:val="en-US"/>
        </w:rPr>
        <w:t>after</w:t>
      </w:r>
      <w:r w:rsidRPr="003F6173">
        <w:rPr>
          <w:iCs/>
          <w:sz w:val="20"/>
          <w:lang w:val="en-US"/>
        </w:rPr>
        <w:t xml:space="preserve"> LTM failure, the UE has </w:t>
      </w:r>
      <w:r w:rsidR="005D18FD" w:rsidRPr="003F6173">
        <w:rPr>
          <w:iCs/>
          <w:sz w:val="20"/>
          <w:lang w:val="en-US"/>
        </w:rPr>
        <w:lastRenderedPageBreak/>
        <w:t>reverted</w:t>
      </w:r>
      <w:r w:rsidRPr="003F6173">
        <w:rPr>
          <w:iCs/>
          <w:sz w:val="20"/>
          <w:lang w:val="en-US"/>
        </w:rPr>
        <w:t xml:space="preserve"> back to the security key of source cell</w:t>
      </w:r>
      <w:r w:rsidR="005D18FD" w:rsidRPr="003F6173">
        <w:rPr>
          <w:iCs/>
          <w:sz w:val="20"/>
          <w:lang w:val="en-US"/>
        </w:rPr>
        <w:t xml:space="preserve"> </w:t>
      </w:r>
      <w:r w:rsidRPr="003F6173">
        <w:rPr>
          <w:iCs/>
          <w:sz w:val="20"/>
          <w:lang w:val="en-US"/>
        </w:rPr>
        <w:t xml:space="preserve">(CU1) and the </w:t>
      </w:r>
      <w:r w:rsidR="005D18FD" w:rsidRPr="003F6173">
        <w:rPr>
          <w:iCs/>
          <w:sz w:val="20"/>
          <w:lang w:val="en-US"/>
        </w:rPr>
        <w:t>Rel</w:t>
      </w:r>
      <w:r w:rsidRPr="003F6173">
        <w:rPr>
          <w:iCs/>
          <w:sz w:val="20"/>
          <w:lang w:val="en-US"/>
        </w:rPr>
        <w:t>-19 ID stored in</w:t>
      </w:r>
      <w:r w:rsidRPr="003F6173">
        <w:rPr>
          <w:i/>
          <w:sz w:val="20"/>
          <w:lang w:val="en-US"/>
        </w:rPr>
        <w:t xml:space="preserve"> </w:t>
      </w:r>
      <w:proofErr w:type="spellStart"/>
      <w:r w:rsidRPr="003F6173">
        <w:rPr>
          <w:i/>
          <w:sz w:val="20"/>
          <w:lang w:val="en-US"/>
        </w:rPr>
        <w:t>VarLTM-ServingCellNoSecurityChange</w:t>
      </w:r>
      <w:proofErr w:type="spellEnd"/>
      <w:r w:rsidRPr="003F6173">
        <w:rPr>
          <w:iCs/>
          <w:sz w:val="20"/>
          <w:lang w:val="en-US"/>
        </w:rPr>
        <w:t xml:space="preserve"> is revert</w:t>
      </w:r>
      <w:r w:rsidRPr="003F6173">
        <w:rPr>
          <w:iCs/>
          <w:sz w:val="20"/>
        </w:rPr>
        <w:t>ed</w:t>
      </w:r>
      <w:r w:rsidRPr="003F6173">
        <w:rPr>
          <w:iCs/>
          <w:sz w:val="20"/>
          <w:lang w:val="en-US"/>
        </w:rPr>
        <w:t xml:space="preserve"> back to the </w:t>
      </w:r>
      <w:r w:rsidRPr="003F6173">
        <w:rPr>
          <w:iCs/>
          <w:sz w:val="20"/>
        </w:rPr>
        <w:t>R</w:t>
      </w:r>
      <w:r w:rsidRPr="003F6173">
        <w:rPr>
          <w:iCs/>
          <w:sz w:val="20"/>
          <w:lang w:val="en-US"/>
        </w:rPr>
        <w:t>el-19 ID of source cell (CU1). For Case 3 and Case 4, after inter-CU LTM Failure, the UE maintains the PDCP state variables for SRB(s) associated to the fail</w:t>
      </w:r>
      <w:r w:rsidR="005D18FD" w:rsidRPr="003F6173">
        <w:rPr>
          <w:iCs/>
          <w:sz w:val="20"/>
          <w:lang w:val="en-US"/>
        </w:rPr>
        <w:t>ed</w:t>
      </w:r>
      <w:r w:rsidRPr="003F6173">
        <w:rPr>
          <w:iCs/>
          <w:sz w:val="20"/>
          <w:lang w:val="en-US"/>
        </w:rPr>
        <w:t xml:space="preserve"> target cell. </w:t>
      </w:r>
    </w:p>
    <w:p w14:paraId="470223AB" w14:textId="6670D3A4" w:rsidR="006111B6" w:rsidRPr="003F6173" w:rsidRDefault="006E7348" w:rsidP="003F6173">
      <w:pPr>
        <w:spacing w:before="120"/>
        <w:jc w:val="left"/>
        <w:rPr>
          <w:iCs/>
          <w:sz w:val="20"/>
          <w:lang w:val="en-US"/>
        </w:rPr>
      </w:pPr>
      <w:r w:rsidRPr="003F6173">
        <w:rPr>
          <w:iCs/>
          <w:sz w:val="20"/>
          <w:lang w:val="en-US"/>
        </w:rPr>
        <w:t>For Case 3, the security key of source cell</w:t>
      </w:r>
      <w:r w:rsidR="005D18FD" w:rsidRPr="003F6173">
        <w:rPr>
          <w:iCs/>
          <w:sz w:val="20"/>
          <w:lang w:val="en-US"/>
        </w:rPr>
        <w:t xml:space="preserve"> </w:t>
      </w:r>
      <w:r w:rsidRPr="003F6173">
        <w:rPr>
          <w:iCs/>
          <w:sz w:val="20"/>
          <w:lang w:val="en-US"/>
        </w:rPr>
        <w:t>(CU1) can be used, but the PDCP state variables for SRB(s) need to continue from the status of source cell rather than the</w:t>
      </w:r>
      <w:r w:rsidRPr="003F6173">
        <w:rPr>
          <w:sz w:val="20"/>
        </w:rPr>
        <w:t xml:space="preserve"> </w:t>
      </w:r>
      <w:r w:rsidRPr="003F6173">
        <w:rPr>
          <w:iCs/>
          <w:sz w:val="20"/>
          <w:lang w:val="en-US"/>
        </w:rPr>
        <w:t>failed target cell. Hence, the Rel-18 handling on failure cannot be reused in R</w:t>
      </w:r>
      <w:r w:rsidR="005D18FD" w:rsidRPr="003F6173">
        <w:rPr>
          <w:iCs/>
          <w:sz w:val="20"/>
          <w:lang w:val="en-US"/>
        </w:rPr>
        <w:t>el-</w:t>
      </w:r>
      <w:r w:rsidRPr="003F6173">
        <w:rPr>
          <w:iCs/>
          <w:sz w:val="20"/>
          <w:lang w:val="en-US"/>
        </w:rPr>
        <w:t>19 for case 3.</w:t>
      </w:r>
    </w:p>
    <w:p w14:paraId="1EBA69A5" w14:textId="11742C19" w:rsidR="006111B6" w:rsidRPr="003F6173" w:rsidRDefault="006E7348" w:rsidP="003F6173">
      <w:pPr>
        <w:spacing w:before="120"/>
        <w:jc w:val="left"/>
        <w:rPr>
          <w:b/>
          <w:sz w:val="20"/>
        </w:rPr>
      </w:pPr>
      <w:r w:rsidRPr="003F6173">
        <w:rPr>
          <w:b/>
          <w:sz w:val="20"/>
        </w:rPr>
        <w:t xml:space="preserve">Observation 2b: The Rel-18 handling on failure </w:t>
      </w:r>
      <w:r w:rsidR="005D18FD" w:rsidRPr="003F6173">
        <w:rPr>
          <w:b/>
          <w:sz w:val="20"/>
        </w:rPr>
        <w:t>cannot be</w:t>
      </w:r>
      <w:r w:rsidRPr="003F6173">
        <w:rPr>
          <w:b/>
          <w:sz w:val="20"/>
        </w:rPr>
        <w:t xml:space="preserve"> reused in R</w:t>
      </w:r>
      <w:r w:rsidR="005D18FD" w:rsidRPr="003F6173">
        <w:rPr>
          <w:b/>
          <w:sz w:val="20"/>
        </w:rPr>
        <w:t>el-</w:t>
      </w:r>
      <w:r w:rsidRPr="003F6173">
        <w:rPr>
          <w:b/>
          <w:sz w:val="20"/>
        </w:rPr>
        <w:t>19 for case 3. The PDCP state variables for SRB(s) need to continue from the status of source cell rather than the failed target cell for Case 3.</w:t>
      </w:r>
    </w:p>
    <w:p w14:paraId="7073B0FC" w14:textId="77777777" w:rsidR="006111B6" w:rsidRPr="003F6173" w:rsidRDefault="006111B6" w:rsidP="003F6173">
      <w:pPr>
        <w:spacing w:before="120"/>
        <w:jc w:val="left"/>
        <w:rPr>
          <w:iCs/>
          <w:sz w:val="20"/>
          <w:lang w:val="en-US"/>
        </w:rPr>
      </w:pPr>
    </w:p>
    <w:p w14:paraId="2159AFC8" w14:textId="2ECB4956" w:rsidR="006111B6" w:rsidRPr="003F6173" w:rsidRDefault="005D18FD" w:rsidP="003F6173">
      <w:pPr>
        <w:spacing w:before="120"/>
        <w:jc w:val="left"/>
        <w:rPr>
          <w:iCs/>
          <w:sz w:val="20"/>
          <w:lang w:val="en-US"/>
        </w:rPr>
      </w:pPr>
      <w:r w:rsidRPr="003F6173">
        <w:rPr>
          <w:iCs/>
          <w:sz w:val="20"/>
          <w:lang w:val="en-US"/>
        </w:rPr>
        <w:t>I</w:t>
      </w:r>
      <w:r w:rsidR="006E7348" w:rsidRPr="003F6173">
        <w:rPr>
          <w:iCs/>
          <w:sz w:val="20"/>
          <w:lang w:val="en-US"/>
        </w:rPr>
        <w:t>f we want to support case 4, some enhancement may be needed: e.g., upon</w:t>
      </w:r>
      <w:r w:rsidR="002C77A5" w:rsidRPr="003F6173">
        <w:rPr>
          <w:iCs/>
          <w:sz w:val="20"/>
          <w:lang w:val="en-US"/>
        </w:rPr>
        <w:t xml:space="preserve"> inter-CU LTM failure</w:t>
      </w:r>
      <w:r w:rsidR="006E7348" w:rsidRPr="003F6173">
        <w:rPr>
          <w:iCs/>
          <w:sz w:val="20"/>
          <w:lang w:val="en-US"/>
        </w:rPr>
        <w:t xml:space="preserve">, the UE shall store the NCC value provided in LTM CSC and the UE shall compare the Rel-19 ID between the </w:t>
      </w:r>
      <w:r w:rsidRPr="003F6173">
        <w:rPr>
          <w:iCs/>
          <w:sz w:val="20"/>
          <w:lang w:val="en-US"/>
        </w:rPr>
        <w:t xml:space="preserve">failed </w:t>
      </w:r>
      <w:r w:rsidR="006E7348" w:rsidRPr="003F6173">
        <w:rPr>
          <w:iCs/>
          <w:sz w:val="20"/>
          <w:lang w:val="en-US"/>
        </w:rPr>
        <w:t>target cell and selected cell</w:t>
      </w:r>
      <w:r w:rsidRPr="003F6173">
        <w:rPr>
          <w:iCs/>
          <w:sz w:val="20"/>
          <w:lang w:val="en-US"/>
        </w:rPr>
        <w:t xml:space="preserve"> to determine the failed target cell and the selected cell are from the same CU (CU2)</w:t>
      </w:r>
      <w:r w:rsidR="006E7348" w:rsidRPr="003F6173">
        <w:rPr>
          <w:iCs/>
          <w:sz w:val="20"/>
          <w:lang w:val="en-US"/>
        </w:rPr>
        <w:t>. It is very complicated for UE and RAN2 may not have enough time to discuss the</w:t>
      </w:r>
      <w:r w:rsidR="002C77A5" w:rsidRPr="003F6173">
        <w:rPr>
          <w:iCs/>
          <w:sz w:val="20"/>
          <w:lang w:val="en-US"/>
        </w:rPr>
        <w:t>se</w:t>
      </w:r>
      <w:r w:rsidR="006E7348" w:rsidRPr="003F6173">
        <w:rPr>
          <w:iCs/>
          <w:sz w:val="20"/>
          <w:lang w:val="en-US"/>
        </w:rPr>
        <w:t xml:space="preserve"> details. So, case 4 can not be supported in Rel-19.</w:t>
      </w:r>
    </w:p>
    <w:p w14:paraId="08B9456E" w14:textId="0DB9DFA9" w:rsidR="006111B6" w:rsidRPr="003F6173" w:rsidRDefault="006E7348" w:rsidP="003F6173">
      <w:pPr>
        <w:spacing w:before="120"/>
        <w:jc w:val="left"/>
        <w:rPr>
          <w:b/>
          <w:bCs/>
          <w:iCs/>
          <w:sz w:val="20"/>
          <w:lang w:val="en-US"/>
        </w:rPr>
      </w:pPr>
      <w:bookmarkStart w:id="7" w:name="_Hlk193908954"/>
      <w:r w:rsidRPr="003F6173">
        <w:rPr>
          <w:b/>
          <w:bCs/>
          <w:iCs/>
          <w:sz w:val="20"/>
          <w:lang w:val="en-US"/>
        </w:rPr>
        <w:t>Observation 2c:</w:t>
      </w:r>
      <w:r w:rsidRPr="003F6173">
        <w:rPr>
          <w:sz w:val="20"/>
        </w:rPr>
        <w:t xml:space="preserve"> </w:t>
      </w:r>
      <w:r w:rsidRPr="003F6173">
        <w:rPr>
          <w:b/>
          <w:bCs/>
          <w:iCs/>
          <w:sz w:val="20"/>
          <w:lang w:val="en-US"/>
        </w:rPr>
        <w:t>The Rel-18 handling on failure cannot be reused in R</w:t>
      </w:r>
      <w:r w:rsidR="002C77A5" w:rsidRPr="003F6173">
        <w:rPr>
          <w:b/>
          <w:bCs/>
          <w:iCs/>
          <w:sz w:val="20"/>
          <w:lang w:val="en-US"/>
        </w:rPr>
        <w:t>el-</w:t>
      </w:r>
      <w:r w:rsidRPr="003F6173">
        <w:rPr>
          <w:b/>
          <w:bCs/>
          <w:iCs/>
          <w:sz w:val="20"/>
          <w:lang w:val="en-US"/>
        </w:rPr>
        <w:t xml:space="preserve">19 for case 4. Extra enhancements </w:t>
      </w:r>
      <w:r w:rsidR="002C77A5" w:rsidRPr="003F6173">
        <w:rPr>
          <w:b/>
          <w:bCs/>
          <w:iCs/>
          <w:sz w:val="20"/>
          <w:lang w:val="en-US"/>
        </w:rPr>
        <w:t>are</w:t>
      </w:r>
      <w:r w:rsidRPr="003F6173">
        <w:rPr>
          <w:b/>
          <w:bCs/>
          <w:iCs/>
          <w:sz w:val="20"/>
          <w:lang w:val="en-US"/>
        </w:rPr>
        <w:t xml:space="preserve"> needed to support case 4, e.g., upon </w:t>
      </w:r>
      <w:r w:rsidR="002C77A5" w:rsidRPr="003F6173">
        <w:rPr>
          <w:b/>
          <w:bCs/>
          <w:iCs/>
          <w:sz w:val="20"/>
          <w:lang w:val="en-US"/>
        </w:rPr>
        <w:t xml:space="preserve">inter-CU </w:t>
      </w:r>
      <w:r w:rsidRPr="003F6173">
        <w:rPr>
          <w:b/>
          <w:bCs/>
          <w:iCs/>
          <w:sz w:val="20"/>
          <w:lang w:val="en-US"/>
        </w:rPr>
        <w:t>LTM</w:t>
      </w:r>
      <w:r w:rsidR="002C77A5" w:rsidRPr="003F6173">
        <w:rPr>
          <w:b/>
          <w:bCs/>
          <w:iCs/>
          <w:sz w:val="20"/>
          <w:lang w:val="en-US"/>
        </w:rPr>
        <w:t xml:space="preserve"> failure</w:t>
      </w:r>
      <w:r w:rsidRPr="003F6173">
        <w:rPr>
          <w:b/>
          <w:bCs/>
          <w:iCs/>
          <w:sz w:val="20"/>
          <w:lang w:val="en-US"/>
        </w:rPr>
        <w:t xml:space="preserve">, the UE shall store the NCC value provided in LTM CSC and the UE shall compare the Rel-19 ID between the </w:t>
      </w:r>
      <w:r w:rsidR="005D18FD" w:rsidRPr="003F6173">
        <w:rPr>
          <w:b/>
          <w:bCs/>
          <w:iCs/>
          <w:sz w:val="20"/>
          <w:lang w:val="en-US"/>
        </w:rPr>
        <w:t xml:space="preserve">failed </w:t>
      </w:r>
      <w:r w:rsidRPr="003F6173">
        <w:rPr>
          <w:b/>
          <w:bCs/>
          <w:iCs/>
          <w:sz w:val="20"/>
          <w:lang w:val="en-US"/>
        </w:rPr>
        <w:t>target cell and selected cell</w:t>
      </w:r>
      <w:r w:rsidR="005D18FD" w:rsidRPr="003F6173">
        <w:rPr>
          <w:sz w:val="20"/>
        </w:rPr>
        <w:t xml:space="preserve"> </w:t>
      </w:r>
      <w:r w:rsidR="005D18FD" w:rsidRPr="003F6173">
        <w:rPr>
          <w:b/>
          <w:bCs/>
          <w:iCs/>
          <w:sz w:val="20"/>
          <w:lang w:val="en-US"/>
        </w:rPr>
        <w:t>to determine the failed target cell and the selected cell are from the same CU</w:t>
      </w:r>
      <w:r w:rsidRPr="003F6173">
        <w:rPr>
          <w:b/>
          <w:bCs/>
          <w:iCs/>
          <w:sz w:val="20"/>
          <w:lang w:val="en-US"/>
        </w:rPr>
        <w:t>.</w:t>
      </w:r>
    </w:p>
    <w:bookmarkEnd w:id="7"/>
    <w:p w14:paraId="46A94229" w14:textId="77777777" w:rsidR="006111B6" w:rsidRPr="003F6173" w:rsidRDefault="006111B6" w:rsidP="003F6173">
      <w:pPr>
        <w:spacing w:before="120"/>
        <w:jc w:val="left"/>
        <w:rPr>
          <w:iCs/>
          <w:sz w:val="20"/>
          <w:lang w:val="en-US"/>
        </w:rPr>
      </w:pPr>
    </w:p>
    <w:p w14:paraId="665BF762" w14:textId="77777777" w:rsidR="006111B6" w:rsidRPr="003F6173" w:rsidRDefault="006E7348" w:rsidP="003F6173">
      <w:pPr>
        <w:spacing w:before="120"/>
        <w:jc w:val="left"/>
        <w:rPr>
          <w:b/>
          <w:bCs/>
          <w:i/>
          <w:sz w:val="20"/>
          <w:lang w:val="en-US"/>
        </w:rPr>
      </w:pPr>
      <w:r w:rsidRPr="003F6173">
        <w:rPr>
          <w:b/>
          <w:bCs/>
          <w:i/>
          <w:sz w:val="20"/>
          <w:lang w:val="en-US"/>
        </w:rPr>
        <w:t>For Case 5~7:</w:t>
      </w:r>
    </w:p>
    <w:p w14:paraId="712E584B" w14:textId="56006B81" w:rsidR="006111B6" w:rsidRPr="003F6173" w:rsidRDefault="006E7348" w:rsidP="003F6173">
      <w:pPr>
        <w:spacing w:before="120"/>
        <w:jc w:val="left"/>
        <w:rPr>
          <w:iCs/>
          <w:sz w:val="20"/>
          <w:lang w:val="en-US"/>
        </w:rPr>
      </w:pPr>
      <w:r w:rsidRPr="003F6173">
        <w:rPr>
          <w:iCs/>
          <w:sz w:val="20"/>
          <w:lang w:val="en-US"/>
        </w:rPr>
        <w:t xml:space="preserve">In Case 5~7, the UE selectes the candidate cell from non-source and non-target CU (for LTM failure) or non-serving CU (for RLF), and the key update is needed. If p1 is </w:t>
      </w:r>
      <w:r w:rsidR="00CF266E" w:rsidRPr="003F6173">
        <w:rPr>
          <w:iCs/>
          <w:sz w:val="20"/>
          <w:lang w:val="en-US"/>
        </w:rPr>
        <w:t>agreed</w:t>
      </w:r>
      <w:r w:rsidRPr="003F6173">
        <w:rPr>
          <w:iCs/>
          <w:sz w:val="20"/>
          <w:lang w:val="en-US"/>
        </w:rPr>
        <w:t xml:space="preserve"> for key update, for </w:t>
      </w:r>
      <w:r w:rsidR="00CF266E" w:rsidRPr="003F6173">
        <w:rPr>
          <w:iCs/>
          <w:sz w:val="20"/>
          <w:lang w:val="en-US"/>
        </w:rPr>
        <w:t xml:space="preserve">the </w:t>
      </w:r>
      <w:r w:rsidRPr="003F6173">
        <w:rPr>
          <w:iCs/>
          <w:sz w:val="20"/>
          <w:lang w:val="en-US"/>
        </w:rPr>
        <w:t>LTM cell switch triggered for failure recovery by the UE, the UE has no possibility to get NCC for key update in case 5~7. Hence, Case 5~7 shall not be supported in Rel-19.</w:t>
      </w:r>
    </w:p>
    <w:p w14:paraId="19FE3274" w14:textId="6FE6BBC9" w:rsidR="006111B6" w:rsidRPr="003F6173" w:rsidRDefault="006E7348" w:rsidP="003F6173">
      <w:pPr>
        <w:spacing w:before="120"/>
        <w:jc w:val="left"/>
        <w:rPr>
          <w:b/>
          <w:bCs/>
          <w:iCs/>
          <w:sz w:val="20"/>
          <w:lang w:val="en-US"/>
        </w:rPr>
      </w:pPr>
      <w:r w:rsidRPr="003F6173">
        <w:rPr>
          <w:b/>
          <w:bCs/>
          <w:iCs/>
          <w:sz w:val="20"/>
          <w:lang w:val="en-US"/>
        </w:rPr>
        <w:t>Observation 2d: For case 5,6 and 7,</w:t>
      </w:r>
      <w:r w:rsidRPr="003F6173">
        <w:rPr>
          <w:sz w:val="20"/>
        </w:rPr>
        <w:t xml:space="preserve"> </w:t>
      </w:r>
      <w:r w:rsidRPr="003F6173">
        <w:rPr>
          <w:b/>
          <w:bCs/>
          <w:iCs/>
          <w:sz w:val="20"/>
          <w:lang w:val="en-US"/>
        </w:rPr>
        <w:t xml:space="preserve">the key update is needed, but the UE has no possibility to get NCC for </w:t>
      </w:r>
      <w:r w:rsidR="002C77A5" w:rsidRPr="003F6173">
        <w:rPr>
          <w:b/>
          <w:bCs/>
          <w:iCs/>
          <w:sz w:val="20"/>
          <w:lang w:val="en-US"/>
        </w:rPr>
        <w:t xml:space="preserve">the </w:t>
      </w:r>
      <w:r w:rsidRPr="003F6173">
        <w:rPr>
          <w:b/>
          <w:bCs/>
          <w:iCs/>
          <w:sz w:val="20"/>
          <w:lang w:val="en-US"/>
        </w:rPr>
        <w:t>key update.</w:t>
      </w:r>
    </w:p>
    <w:p w14:paraId="47E253B2" w14:textId="77777777" w:rsidR="006111B6" w:rsidRPr="003F6173" w:rsidRDefault="006111B6" w:rsidP="003F6173">
      <w:pPr>
        <w:spacing w:before="120"/>
        <w:jc w:val="left"/>
        <w:rPr>
          <w:b/>
          <w:bCs/>
          <w:iCs/>
          <w:sz w:val="20"/>
          <w:lang w:val="en-US"/>
        </w:rPr>
      </w:pPr>
    </w:p>
    <w:p w14:paraId="50B1BF69" w14:textId="77777777" w:rsidR="006111B6" w:rsidRPr="003F6173" w:rsidRDefault="006E7348" w:rsidP="003F6173">
      <w:pPr>
        <w:spacing w:before="120"/>
        <w:jc w:val="left"/>
        <w:rPr>
          <w:b/>
          <w:bCs/>
          <w:i/>
          <w:sz w:val="20"/>
          <w:lang w:val="en-US"/>
        </w:rPr>
      </w:pPr>
      <w:r w:rsidRPr="003F6173">
        <w:rPr>
          <w:b/>
          <w:bCs/>
          <w:i/>
          <w:sz w:val="20"/>
          <w:lang w:val="en-US"/>
        </w:rPr>
        <w:t>In summary:</w:t>
      </w:r>
    </w:p>
    <w:p w14:paraId="4E0900A0" w14:textId="576A27D0" w:rsidR="006111B6" w:rsidRPr="003F6173" w:rsidRDefault="006E7348" w:rsidP="003F6173">
      <w:pPr>
        <w:spacing w:before="120"/>
        <w:jc w:val="left"/>
        <w:rPr>
          <w:iCs/>
          <w:sz w:val="20"/>
          <w:lang w:val="en-US"/>
        </w:rPr>
      </w:pPr>
      <w:r w:rsidRPr="003F6173">
        <w:rPr>
          <w:iCs/>
          <w:sz w:val="20"/>
          <w:lang w:val="en-US"/>
        </w:rPr>
        <w:t xml:space="preserve">Based on the above analysis, the Rel-18 handling on failure can be reused in Rel-19 for </w:t>
      </w:r>
      <w:r w:rsidR="002C77A5" w:rsidRPr="003F6173">
        <w:rPr>
          <w:iCs/>
          <w:sz w:val="20"/>
          <w:lang w:val="en-US"/>
        </w:rPr>
        <w:t>C</w:t>
      </w:r>
      <w:r w:rsidRPr="003F6173">
        <w:rPr>
          <w:iCs/>
          <w:sz w:val="20"/>
          <w:lang w:val="en-US"/>
        </w:rPr>
        <w:t xml:space="preserve">ase 1 and </w:t>
      </w:r>
      <w:r w:rsidR="002C77A5" w:rsidRPr="003F6173">
        <w:rPr>
          <w:iCs/>
          <w:sz w:val="20"/>
          <w:lang w:val="en-US"/>
        </w:rPr>
        <w:t>C</w:t>
      </w:r>
      <w:r w:rsidRPr="003F6173">
        <w:rPr>
          <w:iCs/>
          <w:sz w:val="20"/>
          <w:lang w:val="en-US"/>
        </w:rPr>
        <w:t>ase 2. Case 1 and Case 2 shall be supported. Case 3 and Case 4 can be supported with some enhancements.</w:t>
      </w:r>
      <w:r w:rsidRPr="003F6173">
        <w:rPr>
          <w:sz w:val="20"/>
        </w:rPr>
        <w:t xml:space="preserve"> </w:t>
      </w:r>
      <w:r w:rsidRPr="003F6173">
        <w:rPr>
          <w:iCs/>
          <w:sz w:val="20"/>
          <w:lang w:val="en-US"/>
        </w:rPr>
        <w:t xml:space="preserve">Case 5, </w:t>
      </w:r>
      <w:r w:rsidR="00F0524F" w:rsidRPr="003F6173">
        <w:rPr>
          <w:iCs/>
          <w:sz w:val="20"/>
          <w:lang w:val="en-US"/>
        </w:rPr>
        <w:t>C</w:t>
      </w:r>
      <w:r w:rsidRPr="003F6173">
        <w:rPr>
          <w:iCs/>
          <w:sz w:val="20"/>
          <w:lang w:val="en-US"/>
        </w:rPr>
        <w:t xml:space="preserve">ase 6 and </w:t>
      </w:r>
      <w:r w:rsidR="00F0524F" w:rsidRPr="003F6173">
        <w:rPr>
          <w:iCs/>
          <w:sz w:val="20"/>
          <w:lang w:val="en-US"/>
        </w:rPr>
        <w:t>C</w:t>
      </w:r>
      <w:r w:rsidRPr="003F6173">
        <w:rPr>
          <w:iCs/>
          <w:sz w:val="20"/>
          <w:lang w:val="en-US"/>
        </w:rPr>
        <w:t>ase 7 have no possibility of being supported in Rel-19.</w:t>
      </w:r>
      <w:r w:rsidR="00F0524F" w:rsidRPr="003F6173">
        <w:rPr>
          <w:iCs/>
          <w:sz w:val="20"/>
          <w:lang w:val="en-US"/>
        </w:rPr>
        <w:t xml:space="preserve"> For Case 5, Case 6 and Case 7, the UE shall perform RRC re-establishment.</w:t>
      </w:r>
    </w:p>
    <w:p w14:paraId="5AC44794" w14:textId="6FDC5ADF" w:rsidR="006111B6" w:rsidRPr="003F6173" w:rsidRDefault="006E7348" w:rsidP="003F6173">
      <w:pPr>
        <w:spacing w:before="120"/>
        <w:jc w:val="left"/>
        <w:rPr>
          <w:rFonts w:hint="eastAsia"/>
          <w:iCs/>
          <w:sz w:val="20"/>
          <w:lang w:val="en-US"/>
        </w:rPr>
      </w:pPr>
      <w:r w:rsidRPr="003F6173">
        <w:rPr>
          <w:iCs/>
          <w:sz w:val="20"/>
          <w:lang w:val="en-US"/>
        </w:rPr>
        <w:t xml:space="preserve">A simple method is to only support </w:t>
      </w:r>
      <w:r w:rsidR="000E3EF7" w:rsidRPr="003F6173">
        <w:rPr>
          <w:iCs/>
          <w:sz w:val="20"/>
          <w:lang w:val="en-US"/>
        </w:rPr>
        <w:t>C</w:t>
      </w:r>
      <w:r w:rsidRPr="003F6173">
        <w:rPr>
          <w:iCs/>
          <w:sz w:val="20"/>
          <w:lang w:val="en-US"/>
        </w:rPr>
        <w:t xml:space="preserve">ase 1 and </w:t>
      </w:r>
      <w:r w:rsidR="000E3EF7" w:rsidRPr="003F6173">
        <w:rPr>
          <w:iCs/>
          <w:sz w:val="20"/>
          <w:lang w:val="en-US"/>
        </w:rPr>
        <w:t>C</w:t>
      </w:r>
      <w:r w:rsidRPr="003F6173">
        <w:rPr>
          <w:iCs/>
          <w:sz w:val="20"/>
          <w:lang w:val="en-US"/>
        </w:rPr>
        <w:t>ase 2 for LTM based fast failure recovery.</w:t>
      </w:r>
    </w:p>
    <w:p w14:paraId="36FAED34" w14:textId="55214BE8" w:rsidR="006111B6" w:rsidRPr="003F6173" w:rsidRDefault="006E7348" w:rsidP="003F6173">
      <w:pPr>
        <w:spacing w:before="120"/>
        <w:rPr>
          <w:b/>
          <w:sz w:val="20"/>
        </w:rPr>
      </w:pPr>
      <w:r w:rsidRPr="003F6173">
        <w:rPr>
          <w:b/>
          <w:sz w:val="20"/>
        </w:rPr>
        <w:t xml:space="preserve">Proposal 4a: RAN2 supports </w:t>
      </w:r>
      <w:r w:rsidR="00F0524F" w:rsidRPr="003F6173">
        <w:rPr>
          <w:b/>
          <w:sz w:val="20"/>
        </w:rPr>
        <w:t xml:space="preserve">the </w:t>
      </w:r>
      <w:r w:rsidRPr="003F6173">
        <w:rPr>
          <w:b/>
          <w:sz w:val="20"/>
        </w:rPr>
        <w:t xml:space="preserve">LTM based fast failure recovery </w:t>
      </w:r>
      <w:r w:rsidR="00F0524F" w:rsidRPr="003F6173">
        <w:rPr>
          <w:b/>
          <w:sz w:val="20"/>
        </w:rPr>
        <w:t xml:space="preserve">for the following case </w:t>
      </w:r>
      <w:r w:rsidRPr="003F6173">
        <w:rPr>
          <w:b/>
          <w:sz w:val="20"/>
        </w:rPr>
        <w:t>in Rel-19:</w:t>
      </w:r>
    </w:p>
    <w:p w14:paraId="536AC812" w14:textId="28D98E57" w:rsidR="006111B6" w:rsidRPr="003F6173" w:rsidRDefault="00F0524F" w:rsidP="003F6173">
      <w:pPr>
        <w:pStyle w:val="af8"/>
        <w:numPr>
          <w:ilvl w:val="0"/>
          <w:numId w:val="9"/>
        </w:numPr>
        <w:spacing w:before="40" w:line="288" w:lineRule="auto"/>
        <w:ind w:firstLineChars="0"/>
        <w:rPr>
          <w:b/>
          <w:bCs/>
          <w:iCs/>
          <w:sz w:val="20"/>
          <w:szCs w:val="20"/>
          <w:lang w:val="en-US"/>
        </w:rPr>
      </w:pPr>
      <w:r w:rsidRPr="003F6173">
        <w:rPr>
          <w:b/>
          <w:bCs/>
          <w:iCs/>
          <w:sz w:val="20"/>
          <w:szCs w:val="20"/>
          <w:lang w:val="en-US"/>
        </w:rPr>
        <w:t xml:space="preserve">if </w:t>
      </w:r>
      <w:r w:rsidR="006E7348" w:rsidRPr="003F6173">
        <w:rPr>
          <w:b/>
          <w:bCs/>
          <w:iCs/>
          <w:sz w:val="20"/>
          <w:szCs w:val="20"/>
          <w:lang w:val="en-US"/>
        </w:rPr>
        <w:t>the UE selects an intra-CU LTM candidate cell after RLF of the MCG (case 1).</w:t>
      </w:r>
    </w:p>
    <w:p w14:paraId="428A2EC2" w14:textId="6E7CD29C" w:rsidR="006111B6" w:rsidRPr="003F6173" w:rsidRDefault="006E7348" w:rsidP="003F6173">
      <w:pPr>
        <w:spacing w:before="120"/>
        <w:rPr>
          <w:b/>
          <w:sz w:val="20"/>
        </w:rPr>
      </w:pPr>
      <w:r w:rsidRPr="003F6173">
        <w:rPr>
          <w:b/>
          <w:sz w:val="20"/>
        </w:rPr>
        <w:t xml:space="preserve">Proposal 4b: RAN2 can discuss whether to support the LTM based fast failure recovery </w:t>
      </w:r>
      <w:r w:rsidR="00F0524F" w:rsidRPr="003F6173">
        <w:rPr>
          <w:b/>
          <w:sz w:val="20"/>
        </w:rPr>
        <w:t xml:space="preserve">for the following cases </w:t>
      </w:r>
      <w:r w:rsidRPr="003F6173">
        <w:rPr>
          <w:b/>
          <w:sz w:val="20"/>
        </w:rPr>
        <w:t>in Rel-19:</w:t>
      </w:r>
    </w:p>
    <w:p w14:paraId="4A30A89C" w14:textId="0B611A16" w:rsidR="006111B6" w:rsidRPr="003F6173" w:rsidRDefault="00F0524F" w:rsidP="003F6173">
      <w:pPr>
        <w:numPr>
          <w:ilvl w:val="0"/>
          <w:numId w:val="10"/>
        </w:numPr>
        <w:overflowPunct/>
        <w:autoSpaceDE/>
        <w:autoSpaceDN/>
        <w:adjustRightInd/>
        <w:spacing w:before="40" w:after="0"/>
        <w:jc w:val="left"/>
        <w:textAlignment w:val="auto"/>
        <w:rPr>
          <w:rFonts w:eastAsia="MS Gothic"/>
          <w:b/>
          <w:bCs/>
          <w:iCs/>
          <w:sz w:val="20"/>
          <w:lang w:val="en-US" w:eastAsia="en-US"/>
        </w:rPr>
      </w:pPr>
      <w:r w:rsidRPr="003F6173">
        <w:rPr>
          <w:b/>
          <w:bCs/>
          <w:iCs/>
          <w:sz w:val="20"/>
          <w:lang w:val="en-US"/>
        </w:rPr>
        <w:t xml:space="preserve">if </w:t>
      </w:r>
      <w:r w:rsidR="006E7348" w:rsidRPr="003F6173">
        <w:rPr>
          <w:rFonts w:eastAsia="MS Gothic"/>
          <w:b/>
          <w:bCs/>
          <w:iCs/>
          <w:sz w:val="20"/>
          <w:lang w:val="en-US" w:eastAsia="en-US"/>
        </w:rPr>
        <w:t>the UE selects an intra-CU LTM candidate cell, after inter-CU LTM failure (case 3)</w:t>
      </w:r>
    </w:p>
    <w:p w14:paraId="47C1443C" w14:textId="6B24F76C" w:rsidR="006111B6" w:rsidRPr="003F6173" w:rsidRDefault="00F0524F" w:rsidP="003F6173">
      <w:pPr>
        <w:numPr>
          <w:ilvl w:val="0"/>
          <w:numId w:val="10"/>
        </w:numPr>
        <w:overflowPunct/>
        <w:autoSpaceDE/>
        <w:autoSpaceDN/>
        <w:adjustRightInd/>
        <w:spacing w:after="0"/>
        <w:jc w:val="left"/>
        <w:textAlignment w:val="auto"/>
        <w:rPr>
          <w:rFonts w:eastAsia="MS Gothic"/>
          <w:b/>
          <w:bCs/>
          <w:iCs/>
          <w:sz w:val="20"/>
          <w:lang w:val="en-US" w:eastAsia="en-US"/>
        </w:rPr>
      </w:pPr>
      <w:r w:rsidRPr="003F6173">
        <w:rPr>
          <w:b/>
          <w:bCs/>
          <w:iCs/>
          <w:sz w:val="20"/>
          <w:lang w:val="en-US"/>
        </w:rPr>
        <w:t xml:space="preserve">if </w:t>
      </w:r>
      <w:r w:rsidR="006E7348" w:rsidRPr="003F6173">
        <w:rPr>
          <w:rFonts w:eastAsia="MS Gothic"/>
          <w:b/>
          <w:bCs/>
          <w:iCs/>
          <w:sz w:val="20"/>
          <w:lang w:val="en-US" w:eastAsia="en-US"/>
        </w:rPr>
        <w:t>the UE selects an inter-CU LTM candidate cell, after inter-CU LTM failure, where the failed cell and the selected cell are from the same CU (case 4)</w:t>
      </w:r>
    </w:p>
    <w:p w14:paraId="5C638A49" w14:textId="78EBECAC" w:rsidR="006111B6" w:rsidRPr="003F6173" w:rsidRDefault="006E7348" w:rsidP="003F6173">
      <w:pPr>
        <w:spacing w:before="120"/>
        <w:rPr>
          <w:b/>
          <w:sz w:val="20"/>
        </w:rPr>
      </w:pPr>
      <w:r w:rsidRPr="003F6173">
        <w:rPr>
          <w:b/>
          <w:sz w:val="20"/>
        </w:rPr>
        <w:t>Proposal 4c</w:t>
      </w:r>
      <w:r w:rsidRPr="003F6173">
        <w:rPr>
          <w:b/>
          <w:sz w:val="20"/>
        </w:rPr>
        <w:t>：</w:t>
      </w:r>
      <w:r w:rsidR="00F0524F" w:rsidRPr="003F6173">
        <w:rPr>
          <w:b/>
          <w:sz w:val="20"/>
        </w:rPr>
        <w:t>The UE shall perform RRC re-establishment</w:t>
      </w:r>
      <w:r w:rsidR="00F0524F" w:rsidRPr="003F6173" w:rsidDel="00F0524F">
        <w:rPr>
          <w:b/>
          <w:sz w:val="20"/>
        </w:rPr>
        <w:t xml:space="preserve"> </w:t>
      </w:r>
      <w:r w:rsidR="00F0524F" w:rsidRPr="003F6173">
        <w:rPr>
          <w:b/>
          <w:sz w:val="20"/>
        </w:rPr>
        <w:t xml:space="preserve">for </w:t>
      </w:r>
      <w:r w:rsidRPr="003F6173">
        <w:rPr>
          <w:b/>
          <w:sz w:val="20"/>
        </w:rPr>
        <w:t>the following cases in Rel-19:</w:t>
      </w:r>
    </w:p>
    <w:p w14:paraId="7ABE14D2" w14:textId="055CEF2A" w:rsidR="006111B6" w:rsidRPr="003F6173" w:rsidRDefault="00F0524F" w:rsidP="003F6173">
      <w:pPr>
        <w:pStyle w:val="af8"/>
        <w:numPr>
          <w:ilvl w:val="0"/>
          <w:numId w:val="10"/>
        </w:numPr>
        <w:spacing w:before="40" w:line="288" w:lineRule="auto"/>
        <w:ind w:firstLineChars="0"/>
        <w:rPr>
          <w:b/>
          <w:bCs/>
          <w:iCs/>
          <w:sz w:val="20"/>
          <w:szCs w:val="20"/>
          <w:lang w:val="en-US"/>
        </w:rPr>
      </w:pPr>
      <w:r w:rsidRPr="003F6173">
        <w:rPr>
          <w:b/>
          <w:bCs/>
          <w:iCs/>
          <w:sz w:val="20"/>
          <w:szCs w:val="20"/>
          <w:lang w:val="en-US"/>
        </w:rPr>
        <w:t xml:space="preserve">if </w:t>
      </w:r>
      <w:r w:rsidR="006E7348" w:rsidRPr="003F6173">
        <w:rPr>
          <w:b/>
          <w:bCs/>
          <w:iCs/>
          <w:sz w:val="20"/>
          <w:szCs w:val="20"/>
          <w:lang w:val="en-US"/>
        </w:rPr>
        <w:t>the UE selects an inter-CU LTM candidate cell, after RLF of the MCG (case 5)</w:t>
      </w:r>
    </w:p>
    <w:p w14:paraId="6931AA35" w14:textId="411AA219" w:rsidR="006111B6" w:rsidRPr="003F6173" w:rsidRDefault="00F0524F" w:rsidP="003F6173">
      <w:pPr>
        <w:pStyle w:val="af8"/>
        <w:numPr>
          <w:ilvl w:val="0"/>
          <w:numId w:val="10"/>
        </w:numPr>
        <w:spacing w:before="40" w:line="288" w:lineRule="auto"/>
        <w:ind w:firstLineChars="0"/>
        <w:rPr>
          <w:b/>
          <w:bCs/>
          <w:iCs/>
          <w:sz w:val="20"/>
          <w:szCs w:val="20"/>
          <w:lang w:val="en-US"/>
        </w:rPr>
      </w:pPr>
      <w:r w:rsidRPr="003F6173">
        <w:rPr>
          <w:b/>
          <w:bCs/>
          <w:iCs/>
          <w:sz w:val="20"/>
          <w:szCs w:val="20"/>
          <w:lang w:val="en-US"/>
        </w:rPr>
        <w:t xml:space="preserve">if </w:t>
      </w:r>
      <w:r w:rsidR="006E7348" w:rsidRPr="003F6173">
        <w:rPr>
          <w:b/>
          <w:bCs/>
          <w:iCs/>
          <w:sz w:val="20"/>
          <w:szCs w:val="20"/>
          <w:lang w:val="en-US"/>
        </w:rPr>
        <w:t>the UE selects an inter-CU LTM candidate cell, after intra-CU LTM failure (case 6)</w:t>
      </w:r>
    </w:p>
    <w:p w14:paraId="315B9F14" w14:textId="146963E2" w:rsidR="006111B6" w:rsidRPr="003F6173" w:rsidRDefault="00F0524F" w:rsidP="003F6173">
      <w:pPr>
        <w:pStyle w:val="af8"/>
        <w:numPr>
          <w:ilvl w:val="0"/>
          <w:numId w:val="10"/>
        </w:numPr>
        <w:spacing w:line="288" w:lineRule="auto"/>
        <w:ind w:firstLineChars="0"/>
        <w:rPr>
          <w:b/>
          <w:bCs/>
          <w:iCs/>
          <w:sz w:val="20"/>
          <w:szCs w:val="20"/>
          <w:lang w:val="en-US"/>
        </w:rPr>
      </w:pPr>
      <w:r w:rsidRPr="003F6173">
        <w:rPr>
          <w:b/>
          <w:bCs/>
          <w:iCs/>
          <w:sz w:val="20"/>
          <w:szCs w:val="20"/>
          <w:lang w:val="en-US"/>
        </w:rPr>
        <w:lastRenderedPageBreak/>
        <w:t xml:space="preserve">if </w:t>
      </w:r>
      <w:r w:rsidR="006E7348" w:rsidRPr="003F6173">
        <w:rPr>
          <w:b/>
          <w:bCs/>
          <w:iCs/>
          <w:sz w:val="20"/>
          <w:szCs w:val="20"/>
          <w:lang w:val="en-US"/>
        </w:rPr>
        <w:t>the UE selects an inter-CU LTM candidate cell, after inter-CU LTM failure, where the failed cell and the selected cell are from different CUs (case 7)</w:t>
      </w:r>
    </w:p>
    <w:p w14:paraId="22F2845B" w14:textId="77777777" w:rsidR="006111B6" w:rsidRPr="003F6173" w:rsidRDefault="006111B6">
      <w:pPr>
        <w:spacing w:before="40" w:after="0" w:line="240" w:lineRule="auto"/>
        <w:jc w:val="left"/>
        <w:rPr>
          <w:iCs/>
          <w:sz w:val="20"/>
          <w:lang w:val="en-US"/>
        </w:rPr>
      </w:pPr>
    </w:p>
    <w:p w14:paraId="4CCC527A" w14:textId="7939DB98" w:rsidR="006111B6" w:rsidRPr="003F6173" w:rsidRDefault="006E7348">
      <w:pPr>
        <w:spacing w:before="120"/>
        <w:rPr>
          <w:bCs/>
          <w:sz w:val="20"/>
        </w:rPr>
      </w:pPr>
      <w:r w:rsidRPr="003F6173">
        <w:rPr>
          <w:bCs/>
          <w:sz w:val="20"/>
        </w:rPr>
        <w:t>Other issues for LTM based failure recovery is how to determine whether the failed LTM is intra-CU LTM failure or not and whether the UE selects an intra-CU LTM candidate cell or not after failure</w:t>
      </w:r>
      <w:r w:rsidR="00F0524F" w:rsidRPr="003F6173">
        <w:rPr>
          <w:bCs/>
          <w:sz w:val="20"/>
        </w:rPr>
        <w:t xml:space="preserve"> for recovery</w:t>
      </w:r>
      <w:r w:rsidRPr="003F6173">
        <w:rPr>
          <w:bCs/>
          <w:sz w:val="20"/>
        </w:rPr>
        <w:t xml:space="preserve">. For these issues, reusing Rel-19 ID is the straightforward method. </w:t>
      </w:r>
    </w:p>
    <w:p w14:paraId="5584EDBB" w14:textId="0DE38131" w:rsidR="006111B6" w:rsidRPr="003F6173" w:rsidRDefault="006E7348">
      <w:pPr>
        <w:spacing w:before="120"/>
        <w:rPr>
          <w:bCs/>
          <w:sz w:val="20"/>
        </w:rPr>
      </w:pPr>
      <w:r w:rsidRPr="003F6173">
        <w:rPr>
          <w:bCs/>
          <w:sz w:val="20"/>
        </w:rPr>
        <w:t xml:space="preserve">Specifically, for case 1, after detecting RLF of the MCG, if the Rel-19 ID of the selected cell is equal to the Rel-19 ID of the serving cell, UE can perform </w:t>
      </w:r>
      <w:r w:rsidR="00F0524F" w:rsidRPr="003F6173">
        <w:rPr>
          <w:bCs/>
          <w:sz w:val="20"/>
        </w:rPr>
        <w:t xml:space="preserve">LTM </w:t>
      </w:r>
      <w:r w:rsidRPr="003F6173">
        <w:rPr>
          <w:bCs/>
          <w:sz w:val="20"/>
        </w:rPr>
        <w:t>cell switch</w:t>
      </w:r>
      <w:r w:rsidRPr="003F6173">
        <w:rPr>
          <w:sz w:val="20"/>
        </w:rPr>
        <w:t xml:space="preserve"> </w:t>
      </w:r>
      <w:r w:rsidRPr="003F6173">
        <w:rPr>
          <w:bCs/>
          <w:sz w:val="20"/>
        </w:rPr>
        <w:t>for the selected cell for fast failure recovery. ‘</w:t>
      </w:r>
    </w:p>
    <w:p w14:paraId="67A10FD9" w14:textId="6BC0F116" w:rsidR="006111B6" w:rsidRPr="003F6173" w:rsidRDefault="006E7348">
      <w:pPr>
        <w:spacing w:before="120"/>
        <w:rPr>
          <w:bCs/>
          <w:sz w:val="20"/>
        </w:rPr>
      </w:pPr>
      <w:r w:rsidRPr="003F6173">
        <w:rPr>
          <w:bCs/>
          <w:sz w:val="20"/>
        </w:rPr>
        <w:t xml:space="preserve">For case 2, the intra-CU LTM failure can be recovered through intra-CU LTM, according to the current agreement. Hence, after detecting LTM failure, if the Rel-19 ID of the selected LTM cell is equal to the Rel-19 ID of the serving cell and the failed cell, UE can perform </w:t>
      </w:r>
      <w:r w:rsidR="00F0524F" w:rsidRPr="003F6173">
        <w:rPr>
          <w:bCs/>
          <w:sz w:val="20"/>
        </w:rPr>
        <w:t xml:space="preserve">LTM </w:t>
      </w:r>
      <w:r w:rsidRPr="003F6173">
        <w:rPr>
          <w:bCs/>
          <w:sz w:val="20"/>
        </w:rPr>
        <w:t>cell switch for the selected cell for fast failure recovery.</w:t>
      </w:r>
    </w:p>
    <w:p w14:paraId="28E9EDC5" w14:textId="5FF04295" w:rsidR="006111B6" w:rsidRPr="003F6173" w:rsidRDefault="006E7348">
      <w:pPr>
        <w:spacing w:before="120"/>
        <w:rPr>
          <w:b/>
          <w:sz w:val="20"/>
        </w:rPr>
      </w:pPr>
      <w:bookmarkStart w:id="8" w:name="_Hlk193743326"/>
      <w:r w:rsidRPr="003F6173">
        <w:rPr>
          <w:b/>
          <w:sz w:val="20"/>
        </w:rPr>
        <w:t xml:space="preserve">Proposal 5: Rel-19 ID can be used to differentiate intra-CU and inter-CU case for LTM based </w:t>
      </w:r>
      <w:r w:rsidR="00756A6A" w:rsidRPr="003F6173">
        <w:rPr>
          <w:b/>
          <w:sz w:val="20"/>
        </w:rPr>
        <w:t xml:space="preserve">fast </w:t>
      </w:r>
      <w:r w:rsidRPr="003F6173">
        <w:rPr>
          <w:b/>
          <w:sz w:val="20"/>
        </w:rPr>
        <w:t>failure recovery:</w:t>
      </w:r>
    </w:p>
    <w:p w14:paraId="315374A9" w14:textId="77777777" w:rsidR="006111B6" w:rsidRPr="003F6173" w:rsidRDefault="006E7348">
      <w:pPr>
        <w:pStyle w:val="af8"/>
        <w:numPr>
          <w:ilvl w:val="0"/>
          <w:numId w:val="11"/>
        </w:numPr>
        <w:spacing w:before="120"/>
        <w:ind w:firstLineChars="0"/>
        <w:rPr>
          <w:b/>
          <w:sz w:val="20"/>
          <w:szCs w:val="20"/>
        </w:rPr>
      </w:pPr>
      <w:r w:rsidRPr="003F6173">
        <w:rPr>
          <w:b/>
          <w:sz w:val="20"/>
          <w:szCs w:val="20"/>
        </w:rPr>
        <w:t xml:space="preserve">(For Case 1) After detecting RLF of the MCG, if the Rel-19 set ID of the selected LTM cell is equal to the Rel-19 set ID of the serving cell, UE can perform cell switch for the selected cell for fast failure recovery. </w:t>
      </w:r>
    </w:p>
    <w:p w14:paraId="69AF45EB" w14:textId="77777777" w:rsidR="006111B6" w:rsidRPr="003F6173" w:rsidRDefault="006E7348">
      <w:pPr>
        <w:pStyle w:val="af8"/>
        <w:numPr>
          <w:ilvl w:val="0"/>
          <w:numId w:val="11"/>
        </w:numPr>
        <w:spacing w:before="120"/>
        <w:ind w:firstLineChars="0"/>
        <w:rPr>
          <w:b/>
          <w:sz w:val="20"/>
          <w:szCs w:val="20"/>
        </w:rPr>
      </w:pPr>
      <w:r w:rsidRPr="003F6173">
        <w:rPr>
          <w:b/>
          <w:sz w:val="20"/>
          <w:szCs w:val="20"/>
        </w:rPr>
        <w:t>(For Case 2) After detecting LTM failure, if the Rel-19 set ID of the selected LTM cell is equal to the Rel-19 set ID of the serving cell and the failed cell, UE can perform cell switch for the selected cell for fast failure recovery.</w:t>
      </w:r>
      <w:r w:rsidRPr="003F6173">
        <w:rPr>
          <w:sz w:val="20"/>
          <w:szCs w:val="20"/>
        </w:rPr>
        <w:t xml:space="preserve"> </w:t>
      </w:r>
    </w:p>
    <w:bookmarkEnd w:id="8"/>
    <w:p w14:paraId="041A3000" w14:textId="77777777" w:rsidR="006111B6" w:rsidRDefault="006E7348">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Pr>
          <w:rFonts w:ascii="Arial" w:hAnsi="Arial" w:hint="eastAsia"/>
          <w:sz w:val="32"/>
          <w:szCs w:val="32"/>
        </w:rPr>
        <w:t>SCG</w:t>
      </w:r>
      <w:r>
        <w:rPr>
          <w:rFonts w:ascii="Arial" w:hAnsi="Arial"/>
          <w:sz w:val="32"/>
          <w:szCs w:val="32"/>
        </w:rPr>
        <w:t xml:space="preserve"> </w:t>
      </w:r>
      <w:r>
        <w:rPr>
          <w:rFonts w:ascii="Arial" w:hAnsi="Arial" w:hint="eastAsia"/>
          <w:sz w:val="32"/>
          <w:szCs w:val="32"/>
        </w:rPr>
        <w:t>LTM</w:t>
      </w:r>
    </w:p>
    <w:p w14:paraId="7BB02B7D" w14:textId="2D680CF3" w:rsidR="006111B6" w:rsidRPr="00E94D68" w:rsidRDefault="00756A6A">
      <w:pPr>
        <w:spacing w:before="120"/>
        <w:rPr>
          <w:b/>
          <w:bCs/>
          <w:i/>
          <w:iCs/>
          <w:sz w:val="20"/>
          <w:u w:val="single"/>
        </w:rPr>
      </w:pPr>
      <w:r>
        <w:rPr>
          <w:rFonts w:hint="eastAsia"/>
          <w:b/>
          <w:bCs/>
          <w:i/>
          <w:iCs/>
          <w:sz w:val="20"/>
          <w:u w:val="single"/>
        </w:rPr>
        <w:t>H</w:t>
      </w:r>
      <w:r w:rsidR="006E7348" w:rsidRPr="00E94D68">
        <w:rPr>
          <w:b/>
          <w:bCs/>
          <w:i/>
          <w:iCs/>
          <w:sz w:val="20"/>
          <w:u w:val="single"/>
        </w:rPr>
        <w:t>ow to configure the coexistence of intra-CU and inter-CU SCG LTM.</w:t>
      </w:r>
    </w:p>
    <w:p w14:paraId="30816328" w14:textId="77777777" w:rsidR="006111B6" w:rsidRDefault="006E7348">
      <w:pPr>
        <w:spacing w:before="120"/>
        <w:rPr>
          <w:sz w:val="20"/>
        </w:rPr>
      </w:pPr>
      <w:r>
        <w:rPr>
          <w:sz w:val="20"/>
        </w:rPr>
        <w:t>From RAN2 perspective, the following coexistence cases in NR-DC can be supported:</w:t>
      </w:r>
    </w:p>
    <w:p w14:paraId="6EC5BC09" w14:textId="77777777" w:rsidR="006111B6" w:rsidRDefault="006E7348">
      <w:pPr>
        <w:spacing w:before="120"/>
        <w:rPr>
          <w:sz w:val="20"/>
        </w:rPr>
      </w:pPr>
      <w:r>
        <w:rPr>
          <w:sz w:val="20"/>
        </w:rPr>
        <w:t xml:space="preserve">     - Case 1: Intra-CU MCG LTM + Inter-CU MCG LTM</w:t>
      </w:r>
    </w:p>
    <w:p w14:paraId="32CBA28D" w14:textId="77777777" w:rsidR="006111B6" w:rsidRDefault="006E7348">
      <w:pPr>
        <w:spacing w:before="120"/>
        <w:rPr>
          <w:sz w:val="20"/>
        </w:rPr>
      </w:pPr>
      <w:r>
        <w:rPr>
          <w:sz w:val="20"/>
        </w:rPr>
        <w:t xml:space="preserve">     - Case 2: Intra-CU SCG LTM + Inter-CU SCG LTM</w:t>
      </w:r>
    </w:p>
    <w:p w14:paraId="4927C9AC" w14:textId="5AC7544C" w:rsidR="006111B6" w:rsidRDefault="006E7348">
      <w:pPr>
        <w:spacing w:before="120"/>
        <w:rPr>
          <w:sz w:val="20"/>
        </w:rPr>
      </w:pPr>
      <w:r>
        <w:rPr>
          <w:sz w:val="20"/>
        </w:rPr>
        <w:t>The coexistence case of intra-CU SCG LTM and inter-CU SCG LTM has been supported and RAN2 to support intra-CU SCG LTM in MN RRC message, in addition to SN RRC message. Based on current progress, one open issue is whether SCG LTM in MN RRC message</w:t>
      </w:r>
      <w:r w:rsidR="00756A6A">
        <w:rPr>
          <w:sz w:val="20"/>
        </w:rPr>
        <w:t xml:space="preserve"> (i.e., </w:t>
      </w:r>
      <w:r w:rsidR="00756A6A">
        <w:rPr>
          <w:bCs/>
          <w:i/>
          <w:iCs/>
          <w:sz w:val="20"/>
        </w:rPr>
        <w:t>LTM-ConfigNRDC-r19</w:t>
      </w:r>
      <w:r w:rsidR="00756A6A">
        <w:rPr>
          <w:sz w:val="20"/>
        </w:rPr>
        <w:t>)</w:t>
      </w:r>
      <w:r>
        <w:rPr>
          <w:sz w:val="20"/>
        </w:rPr>
        <w:t xml:space="preserve"> and SCG LTM in SN RRC message </w:t>
      </w:r>
      <w:r w:rsidR="00756A6A">
        <w:rPr>
          <w:bCs/>
          <w:sz w:val="20"/>
        </w:rPr>
        <w:t xml:space="preserve">(i.e., </w:t>
      </w:r>
      <w:r w:rsidR="00756A6A">
        <w:rPr>
          <w:bCs/>
          <w:i/>
          <w:iCs/>
          <w:sz w:val="20"/>
        </w:rPr>
        <w:t>LTM-Config-r18</w:t>
      </w:r>
      <w:r w:rsidR="00756A6A">
        <w:rPr>
          <w:bCs/>
          <w:sz w:val="20"/>
        </w:rPr>
        <w:t>)</w:t>
      </w:r>
      <w:r w:rsidR="00756A6A">
        <w:rPr>
          <w:rFonts w:eastAsia="等线"/>
          <w:bCs/>
          <w:sz w:val="20"/>
        </w:rPr>
        <w:t xml:space="preserve"> </w:t>
      </w:r>
      <w:r>
        <w:rPr>
          <w:sz w:val="20"/>
        </w:rPr>
        <w:t>can be configured to UE simultaneously.</w:t>
      </w:r>
    </w:p>
    <w:p w14:paraId="1670AC25" w14:textId="1E4AF77F" w:rsidR="006111B6" w:rsidRDefault="006E7348">
      <w:pPr>
        <w:spacing w:before="120"/>
        <w:rPr>
          <w:rFonts w:eastAsia="等线"/>
          <w:bCs/>
          <w:sz w:val="20"/>
        </w:rPr>
      </w:pPr>
      <w:r>
        <w:rPr>
          <w:sz w:val="20"/>
        </w:rPr>
        <w:t xml:space="preserve">If </w:t>
      </w:r>
      <w:r>
        <w:rPr>
          <w:rFonts w:eastAsia="等线" w:hint="eastAsia"/>
          <w:bCs/>
          <w:sz w:val="20"/>
        </w:rPr>
        <w:t>SCG</w:t>
      </w:r>
      <w:r>
        <w:rPr>
          <w:rFonts w:eastAsia="等线"/>
          <w:bCs/>
          <w:sz w:val="20"/>
        </w:rPr>
        <w:t xml:space="preserve"> </w:t>
      </w:r>
      <w:r>
        <w:rPr>
          <w:rFonts w:eastAsia="等线" w:hint="eastAsia"/>
          <w:bCs/>
          <w:sz w:val="20"/>
        </w:rPr>
        <w:t>LTM</w:t>
      </w:r>
      <w:r>
        <w:rPr>
          <w:rFonts w:eastAsia="等线"/>
          <w:bCs/>
          <w:sz w:val="20"/>
        </w:rPr>
        <w:t xml:space="preserve"> </w:t>
      </w:r>
      <w:r>
        <w:rPr>
          <w:rFonts w:eastAsia="等线" w:hint="eastAsia"/>
          <w:bCs/>
          <w:sz w:val="20"/>
        </w:rPr>
        <w:t>in</w:t>
      </w:r>
      <w:r>
        <w:rPr>
          <w:rFonts w:eastAsia="等线"/>
          <w:bCs/>
          <w:sz w:val="20"/>
        </w:rPr>
        <w:t xml:space="preserve"> </w:t>
      </w:r>
      <w:r>
        <w:rPr>
          <w:rFonts w:eastAsia="等线" w:hint="eastAsia"/>
          <w:bCs/>
          <w:sz w:val="20"/>
        </w:rPr>
        <w:t>MN</w:t>
      </w:r>
      <w:r>
        <w:rPr>
          <w:rFonts w:eastAsia="等线"/>
          <w:bCs/>
          <w:sz w:val="20"/>
        </w:rPr>
        <w:t xml:space="preserve"> </w:t>
      </w:r>
      <w:r>
        <w:rPr>
          <w:sz w:val="20"/>
        </w:rPr>
        <w:t>RRC message</w:t>
      </w:r>
      <w:r>
        <w:rPr>
          <w:rFonts w:eastAsia="等线"/>
          <w:bCs/>
          <w:sz w:val="20"/>
        </w:rPr>
        <w:t xml:space="preserve"> </w:t>
      </w:r>
      <w:r>
        <w:rPr>
          <w:rFonts w:eastAsia="等线" w:hint="eastAsia"/>
          <w:bCs/>
          <w:sz w:val="20"/>
        </w:rPr>
        <w:t>and</w:t>
      </w:r>
      <w:r>
        <w:rPr>
          <w:rFonts w:eastAsia="等线"/>
          <w:bCs/>
          <w:sz w:val="20"/>
        </w:rPr>
        <w:t xml:space="preserve"> </w:t>
      </w:r>
      <w:r>
        <w:rPr>
          <w:rFonts w:eastAsia="等线" w:hint="eastAsia"/>
          <w:bCs/>
          <w:sz w:val="20"/>
        </w:rPr>
        <w:t>SCG</w:t>
      </w:r>
      <w:r>
        <w:rPr>
          <w:rFonts w:eastAsia="等线"/>
          <w:bCs/>
          <w:sz w:val="20"/>
        </w:rPr>
        <w:t xml:space="preserve"> </w:t>
      </w:r>
      <w:r>
        <w:rPr>
          <w:rFonts w:eastAsia="等线" w:hint="eastAsia"/>
          <w:bCs/>
          <w:sz w:val="20"/>
        </w:rPr>
        <w:t>LTM</w:t>
      </w:r>
      <w:r>
        <w:rPr>
          <w:rFonts w:eastAsia="等线"/>
          <w:bCs/>
          <w:sz w:val="20"/>
        </w:rPr>
        <w:t xml:space="preserve"> </w:t>
      </w:r>
      <w:r>
        <w:rPr>
          <w:rFonts w:eastAsia="等线" w:hint="eastAsia"/>
          <w:bCs/>
          <w:sz w:val="20"/>
        </w:rPr>
        <w:t>in</w:t>
      </w:r>
      <w:r>
        <w:rPr>
          <w:rFonts w:eastAsia="等线"/>
          <w:bCs/>
          <w:sz w:val="20"/>
        </w:rPr>
        <w:t xml:space="preserve"> SN </w:t>
      </w:r>
      <w:r>
        <w:rPr>
          <w:sz w:val="20"/>
        </w:rPr>
        <w:t>RRC message</w:t>
      </w:r>
      <w:r>
        <w:rPr>
          <w:rFonts w:eastAsia="等线"/>
          <w:bCs/>
          <w:sz w:val="20"/>
        </w:rPr>
        <w:t xml:space="preserve"> </w:t>
      </w:r>
      <w:r>
        <w:rPr>
          <w:rFonts w:eastAsia="等线" w:hint="eastAsia"/>
          <w:bCs/>
          <w:sz w:val="20"/>
        </w:rPr>
        <w:t>are</w:t>
      </w:r>
      <w:r>
        <w:rPr>
          <w:rFonts w:eastAsia="等线"/>
          <w:bCs/>
          <w:sz w:val="20"/>
        </w:rPr>
        <w:t xml:space="preserve"> </w:t>
      </w:r>
      <w:r>
        <w:rPr>
          <w:rFonts w:eastAsia="等线" w:hint="eastAsia"/>
          <w:bCs/>
          <w:sz w:val="20"/>
        </w:rPr>
        <w:t>configured</w:t>
      </w:r>
      <w:r>
        <w:rPr>
          <w:rFonts w:eastAsia="等线"/>
          <w:bCs/>
          <w:sz w:val="20"/>
        </w:rPr>
        <w:t xml:space="preserve"> </w:t>
      </w:r>
      <w:r>
        <w:rPr>
          <w:rFonts w:eastAsia="等线" w:hint="eastAsia"/>
          <w:bCs/>
          <w:sz w:val="20"/>
        </w:rPr>
        <w:t>to</w:t>
      </w:r>
      <w:r>
        <w:rPr>
          <w:rFonts w:eastAsia="等线"/>
          <w:bCs/>
          <w:sz w:val="20"/>
        </w:rPr>
        <w:t xml:space="preserve"> </w:t>
      </w:r>
      <w:r>
        <w:rPr>
          <w:rFonts w:eastAsia="等线" w:hint="eastAsia"/>
          <w:bCs/>
          <w:sz w:val="20"/>
        </w:rPr>
        <w:t>UE</w:t>
      </w:r>
      <w:r>
        <w:rPr>
          <w:rFonts w:eastAsia="等线"/>
          <w:bCs/>
          <w:sz w:val="20"/>
        </w:rPr>
        <w:t xml:space="preserve"> </w:t>
      </w:r>
      <w:r>
        <w:rPr>
          <w:rFonts w:eastAsia="等线" w:hint="eastAsia"/>
          <w:bCs/>
          <w:sz w:val="20"/>
        </w:rPr>
        <w:t>at</w:t>
      </w:r>
      <w:r>
        <w:rPr>
          <w:rFonts w:eastAsia="等线"/>
          <w:bCs/>
          <w:sz w:val="20"/>
        </w:rPr>
        <w:t xml:space="preserve"> the </w:t>
      </w:r>
      <w:r>
        <w:rPr>
          <w:rFonts w:eastAsia="等线" w:hint="eastAsia"/>
          <w:bCs/>
          <w:sz w:val="20"/>
        </w:rPr>
        <w:t>same</w:t>
      </w:r>
      <w:r>
        <w:rPr>
          <w:rFonts w:eastAsia="等线"/>
          <w:bCs/>
          <w:sz w:val="20"/>
        </w:rPr>
        <w:t xml:space="preserve"> </w:t>
      </w:r>
      <w:r>
        <w:rPr>
          <w:rFonts w:eastAsia="等线" w:hint="eastAsia"/>
          <w:bCs/>
          <w:sz w:val="20"/>
        </w:rPr>
        <w:t>time</w:t>
      </w:r>
      <w:r>
        <w:rPr>
          <w:rFonts w:eastAsia="等线"/>
          <w:bCs/>
          <w:sz w:val="20"/>
        </w:rPr>
        <w:t>,</w:t>
      </w:r>
      <w:r>
        <w:rPr>
          <w:sz w:val="20"/>
        </w:rPr>
        <w:t xml:space="preserve"> there might be two different LTM candidate ID pools, which can cause ambiguity regarding LTM configuration ID</w:t>
      </w:r>
      <w:r>
        <w:rPr>
          <w:rFonts w:eastAsia="等线"/>
          <w:bCs/>
          <w:sz w:val="20"/>
        </w:rPr>
        <w:t xml:space="preserve">. Because </w:t>
      </w:r>
      <w:r>
        <w:rPr>
          <w:rFonts w:eastAsia="等线" w:hint="eastAsia"/>
          <w:bCs/>
          <w:sz w:val="20"/>
        </w:rPr>
        <w:t>SCG</w:t>
      </w:r>
      <w:r>
        <w:rPr>
          <w:rFonts w:eastAsia="等线"/>
          <w:bCs/>
          <w:sz w:val="20"/>
        </w:rPr>
        <w:t xml:space="preserve"> </w:t>
      </w:r>
      <w:r>
        <w:rPr>
          <w:rFonts w:eastAsia="等线" w:hint="eastAsia"/>
          <w:bCs/>
          <w:sz w:val="20"/>
        </w:rPr>
        <w:t>LTM</w:t>
      </w:r>
      <w:r>
        <w:rPr>
          <w:rFonts w:eastAsia="等线"/>
          <w:bCs/>
          <w:sz w:val="20"/>
        </w:rPr>
        <w:t xml:space="preserve"> can only be </w:t>
      </w:r>
      <w:r>
        <w:rPr>
          <w:rFonts w:eastAsia="等线" w:hint="eastAsia"/>
          <w:bCs/>
          <w:sz w:val="20"/>
        </w:rPr>
        <w:t>triggered</w:t>
      </w:r>
      <w:r>
        <w:rPr>
          <w:rFonts w:eastAsia="等线"/>
          <w:bCs/>
          <w:sz w:val="20"/>
        </w:rPr>
        <w:t xml:space="preserve"> by </w:t>
      </w:r>
      <w:r>
        <w:rPr>
          <w:rFonts w:eastAsia="等线" w:hint="eastAsia"/>
          <w:bCs/>
          <w:sz w:val="20"/>
        </w:rPr>
        <w:t>the</w:t>
      </w:r>
      <w:r>
        <w:rPr>
          <w:rFonts w:eastAsia="等线"/>
          <w:bCs/>
          <w:sz w:val="20"/>
        </w:rPr>
        <w:t xml:space="preserve"> </w:t>
      </w:r>
      <w:r>
        <w:rPr>
          <w:rFonts w:eastAsia="等线" w:hint="eastAsia"/>
          <w:bCs/>
          <w:sz w:val="20"/>
        </w:rPr>
        <w:t>Cell</w:t>
      </w:r>
      <w:r>
        <w:rPr>
          <w:rFonts w:eastAsia="等线"/>
          <w:bCs/>
          <w:sz w:val="20"/>
        </w:rPr>
        <w:t xml:space="preserve"> </w:t>
      </w:r>
      <w:r>
        <w:rPr>
          <w:rFonts w:eastAsia="等线" w:hint="eastAsia"/>
          <w:bCs/>
          <w:sz w:val="20"/>
        </w:rPr>
        <w:t>Switch</w:t>
      </w:r>
      <w:r>
        <w:rPr>
          <w:rFonts w:eastAsia="等线"/>
          <w:bCs/>
          <w:sz w:val="20"/>
        </w:rPr>
        <w:t xml:space="preserve"> </w:t>
      </w:r>
      <w:r>
        <w:rPr>
          <w:rFonts w:eastAsia="等线" w:hint="eastAsia"/>
          <w:bCs/>
          <w:sz w:val="20"/>
        </w:rPr>
        <w:t>Command</w:t>
      </w:r>
      <w:r>
        <w:rPr>
          <w:rFonts w:eastAsia="等线"/>
          <w:bCs/>
          <w:sz w:val="20"/>
        </w:rPr>
        <w:t xml:space="preserve"> </w:t>
      </w:r>
      <w:r>
        <w:rPr>
          <w:rFonts w:eastAsia="等线" w:hint="eastAsia"/>
          <w:bCs/>
          <w:sz w:val="20"/>
        </w:rPr>
        <w:t>MAC</w:t>
      </w:r>
      <w:r>
        <w:rPr>
          <w:rFonts w:eastAsia="等线"/>
          <w:bCs/>
          <w:sz w:val="20"/>
        </w:rPr>
        <w:t xml:space="preserve"> </w:t>
      </w:r>
      <w:r>
        <w:rPr>
          <w:rFonts w:eastAsia="等线" w:hint="eastAsia"/>
          <w:bCs/>
          <w:sz w:val="20"/>
        </w:rPr>
        <w:t>CE</w:t>
      </w:r>
      <w:r>
        <w:rPr>
          <w:rFonts w:eastAsia="等线"/>
          <w:bCs/>
          <w:sz w:val="20"/>
        </w:rPr>
        <w:t xml:space="preserve"> from </w:t>
      </w:r>
      <w:r>
        <w:rPr>
          <w:rFonts w:eastAsia="等线" w:hint="eastAsia"/>
          <w:bCs/>
          <w:sz w:val="20"/>
        </w:rPr>
        <w:t>the</w:t>
      </w:r>
      <w:r>
        <w:rPr>
          <w:rFonts w:eastAsia="等线"/>
          <w:bCs/>
          <w:sz w:val="20"/>
        </w:rPr>
        <w:t xml:space="preserve"> </w:t>
      </w:r>
      <w:r>
        <w:rPr>
          <w:rFonts w:eastAsia="等线" w:hint="eastAsia"/>
          <w:bCs/>
          <w:sz w:val="20"/>
        </w:rPr>
        <w:t>serving</w:t>
      </w:r>
      <w:r>
        <w:rPr>
          <w:rFonts w:eastAsia="等线"/>
          <w:bCs/>
          <w:sz w:val="20"/>
        </w:rPr>
        <w:t xml:space="preserve"> </w:t>
      </w:r>
      <w:r>
        <w:rPr>
          <w:rFonts w:eastAsia="等线" w:hint="eastAsia"/>
          <w:bCs/>
          <w:sz w:val="20"/>
        </w:rPr>
        <w:t>SN</w:t>
      </w:r>
      <w:r>
        <w:rPr>
          <w:rFonts w:eastAsia="等线"/>
          <w:bCs/>
          <w:sz w:val="20"/>
        </w:rPr>
        <w:t xml:space="preserve">, the UE cannot determine whether the LTM configuration ID indicated in the SN Cell Switch Command MAC CE is </w:t>
      </w:r>
      <w:r>
        <w:rPr>
          <w:rFonts w:eastAsia="等线" w:hint="eastAsia"/>
          <w:bCs/>
          <w:sz w:val="20"/>
        </w:rPr>
        <w:t>from</w:t>
      </w:r>
      <w:r>
        <w:rPr>
          <w:rFonts w:eastAsia="等线"/>
          <w:bCs/>
          <w:sz w:val="20"/>
        </w:rPr>
        <w:t xml:space="preserve"> the MN RRC message ID pool or the SN RRC message ID pool. Therefore, the common LTM candidate ID pool is</w:t>
      </w:r>
      <w:r>
        <w:rPr>
          <w:rFonts w:eastAsia="等线" w:hint="eastAsia"/>
          <w:bCs/>
          <w:sz w:val="20"/>
        </w:rPr>
        <w:t xml:space="preserve"> </w:t>
      </w:r>
      <w:r>
        <w:rPr>
          <w:rFonts w:eastAsia="等线"/>
          <w:bCs/>
          <w:sz w:val="20"/>
        </w:rPr>
        <w:t>needed for all SCG LTM configurations. In Rel-18 SCPAC, for one UE, only either MN format or SN format (only intra-SN case is possible) is used.</w:t>
      </w:r>
      <w:bookmarkStart w:id="9" w:name="OLE_LINK5"/>
      <w:r>
        <w:rPr>
          <w:rFonts w:eastAsia="等线"/>
          <w:bCs/>
          <w:sz w:val="20"/>
        </w:rPr>
        <w:t xml:space="preserve"> The similar restriction, that </w:t>
      </w:r>
      <w:r>
        <w:rPr>
          <w:bCs/>
          <w:sz w:val="20"/>
        </w:rPr>
        <w:t xml:space="preserve">the mixture of intra-CU and inter-CU </w:t>
      </w:r>
      <w:r>
        <w:rPr>
          <w:rFonts w:hint="eastAsia"/>
          <w:bCs/>
          <w:sz w:val="20"/>
        </w:rPr>
        <w:t>SCG</w:t>
      </w:r>
      <w:r>
        <w:rPr>
          <w:bCs/>
          <w:sz w:val="20"/>
        </w:rPr>
        <w:t xml:space="preserve"> LTM is configured to </w:t>
      </w:r>
      <w:r>
        <w:rPr>
          <w:rFonts w:hint="eastAsia"/>
          <w:bCs/>
          <w:sz w:val="20"/>
        </w:rPr>
        <w:t>the</w:t>
      </w:r>
      <w:r>
        <w:rPr>
          <w:bCs/>
          <w:sz w:val="20"/>
        </w:rPr>
        <w:t xml:space="preserve"> UE only in MN RRC message </w:t>
      </w:r>
      <w:bookmarkStart w:id="10" w:name="_Hlk193908475"/>
      <w:r>
        <w:rPr>
          <w:bCs/>
          <w:sz w:val="20"/>
        </w:rPr>
        <w:t xml:space="preserve">(i.e., </w:t>
      </w:r>
      <w:r>
        <w:rPr>
          <w:bCs/>
          <w:i/>
          <w:iCs/>
          <w:sz w:val="20"/>
        </w:rPr>
        <w:t>LTM-ConfigNRDC-r19</w:t>
      </w:r>
      <w:r>
        <w:rPr>
          <w:bCs/>
          <w:sz w:val="20"/>
        </w:rPr>
        <w:t>),</w:t>
      </w:r>
      <w:bookmarkEnd w:id="10"/>
      <w:r>
        <w:rPr>
          <w:bCs/>
          <w:sz w:val="20"/>
        </w:rPr>
        <w:t xml:space="preserve"> </w:t>
      </w:r>
      <w:r>
        <w:rPr>
          <w:rFonts w:hint="eastAsia"/>
          <w:bCs/>
          <w:sz w:val="20"/>
        </w:rPr>
        <w:t>can</w:t>
      </w:r>
      <w:r>
        <w:rPr>
          <w:bCs/>
          <w:sz w:val="20"/>
        </w:rPr>
        <w:t xml:space="preserve"> address the common LTM candidate ID pool issue for all SCG LTM configuration. </w:t>
      </w:r>
      <w:bookmarkEnd w:id="9"/>
    </w:p>
    <w:p w14:paraId="7B88C70D" w14:textId="77777777" w:rsidR="006111B6" w:rsidRDefault="006E7348">
      <w:pPr>
        <w:spacing w:before="120"/>
        <w:rPr>
          <w:rFonts w:eastAsia="等线"/>
          <w:b/>
          <w:sz w:val="20"/>
        </w:rPr>
      </w:pPr>
      <w:r>
        <w:rPr>
          <w:rFonts w:eastAsia="等线"/>
          <w:b/>
          <w:sz w:val="20"/>
        </w:rPr>
        <w:t>Proposal 6: The mixture of</w:t>
      </w:r>
      <w:bookmarkStart w:id="11" w:name="_Hlk189677893"/>
      <w:r>
        <w:rPr>
          <w:rFonts w:eastAsia="等线"/>
          <w:b/>
          <w:sz w:val="20"/>
        </w:rPr>
        <w:t xml:space="preserve"> intra-CU and inter-CU SCG LTM</w:t>
      </w:r>
      <w:bookmarkEnd w:id="11"/>
      <w:r>
        <w:rPr>
          <w:rFonts w:eastAsia="等线"/>
          <w:b/>
          <w:sz w:val="20"/>
        </w:rPr>
        <w:t xml:space="preserve"> is configured to the UE only in MN </w:t>
      </w:r>
      <w:r>
        <w:rPr>
          <w:rFonts w:eastAsia="等线" w:hint="eastAsia"/>
          <w:b/>
          <w:sz w:val="20"/>
        </w:rPr>
        <w:t>RRC</w:t>
      </w:r>
      <w:r>
        <w:rPr>
          <w:rFonts w:eastAsia="等线"/>
          <w:b/>
          <w:sz w:val="20"/>
        </w:rPr>
        <w:t xml:space="preserve"> message (i.e., </w:t>
      </w:r>
      <w:r>
        <w:rPr>
          <w:rFonts w:eastAsia="等线"/>
          <w:b/>
          <w:i/>
          <w:iCs/>
          <w:sz w:val="20"/>
        </w:rPr>
        <w:t>LTM-ConfigNRDC-r19</w:t>
      </w:r>
      <w:r>
        <w:rPr>
          <w:rFonts w:eastAsia="等线"/>
          <w:b/>
          <w:sz w:val="20"/>
        </w:rPr>
        <w:t>)</w:t>
      </w:r>
      <w:r>
        <w:rPr>
          <w:rFonts w:eastAsia="等线" w:hint="eastAsia"/>
          <w:b/>
          <w:sz w:val="20"/>
        </w:rPr>
        <w:t>.</w:t>
      </w:r>
    </w:p>
    <w:p w14:paraId="49494618" w14:textId="2BF9BFF4" w:rsidR="006111B6" w:rsidRPr="00E94D68" w:rsidRDefault="006E7348">
      <w:pPr>
        <w:spacing w:before="120"/>
        <w:rPr>
          <w:b/>
          <w:bCs/>
          <w:i/>
          <w:iCs/>
          <w:sz w:val="20"/>
          <w:u w:val="single"/>
        </w:rPr>
      </w:pPr>
      <w:r w:rsidRPr="00E94D68">
        <w:rPr>
          <w:b/>
          <w:bCs/>
          <w:i/>
          <w:iCs/>
          <w:sz w:val="20"/>
          <w:u w:val="single"/>
        </w:rPr>
        <w:t>Reference configuration for inter-CU SCG LTM</w:t>
      </w:r>
    </w:p>
    <w:p w14:paraId="1B12D0AD" w14:textId="77777777" w:rsidR="006111B6" w:rsidRDefault="006E7348">
      <w:pPr>
        <w:spacing w:before="120"/>
        <w:rPr>
          <w:rFonts w:eastAsia="等线"/>
          <w:bCs/>
          <w:sz w:val="20"/>
        </w:rPr>
      </w:pPr>
      <w:r>
        <w:rPr>
          <w:rFonts w:eastAsia="等线" w:hint="eastAsia"/>
          <w:bCs/>
          <w:sz w:val="20"/>
        </w:rPr>
        <w:t>For</w:t>
      </w:r>
      <w:r>
        <w:rPr>
          <w:rFonts w:eastAsia="等线"/>
          <w:bCs/>
          <w:sz w:val="20"/>
        </w:rPr>
        <w:t xml:space="preserve"> </w:t>
      </w:r>
      <w:r>
        <w:rPr>
          <w:rFonts w:eastAsia="等线" w:hint="eastAsia"/>
          <w:bCs/>
          <w:sz w:val="20"/>
        </w:rPr>
        <w:t>the</w:t>
      </w:r>
      <w:r>
        <w:rPr>
          <w:rFonts w:eastAsia="等线"/>
          <w:bCs/>
          <w:sz w:val="20"/>
        </w:rPr>
        <w:t xml:space="preserve"> </w:t>
      </w:r>
      <w:r>
        <w:rPr>
          <w:rFonts w:eastAsia="等线" w:hint="eastAsia"/>
          <w:bCs/>
          <w:sz w:val="20"/>
        </w:rPr>
        <w:t>reference</w:t>
      </w:r>
      <w:r>
        <w:rPr>
          <w:rFonts w:eastAsia="等线"/>
          <w:bCs/>
          <w:sz w:val="20"/>
        </w:rPr>
        <w:t xml:space="preserve"> </w:t>
      </w:r>
      <w:r>
        <w:rPr>
          <w:rFonts w:eastAsia="等线" w:hint="eastAsia"/>
          <w:bCs/>
          <w:sz w:val="20"/>
        </w:rPr>
        <w:t>configuration</w:t>
      </w:r>
      <w:r>
        <w:rPr>
          <w:rFonts w:eastAsia="等线"/>
          <w:bCs/>
          <w:sz w:val="20"/>
        </w:rPr>
        <w:t xml:space="preserve"> </w:t>
      </w:r>
      <w:r>
        <w:rPr>
          <w:rFonts w:eastAsia="等线" w:hint="eastAsia"/>
          <w:bCs/>
          <w:sz w:val="20"/>
        </w:rPr>
        <w:t>of</w:t>
      </w:r>
      <w:r>
        <w:rPr>
          <w:rFonts w:eastAsia="等线"/>
          <w:bCs/>
          <w:sz w:val="20"/>
        </w:rPr>
        <w:t xml:space="preserve"> </w:t>
      </w:r>
      <w:r>
        <w:rPr>
          <w:rFonts w:eastAsia="等线" w:hint="eastAsia"/>
          <w:bCs/>
          <w:sz w:val="20"/>
        </w:rPr>
        <w:t>inter-</w:t>
      </w:r>
      <w:r>
        <w:rPr>
          <w:rFonts w:eastAsia="等线"/>
          <w:bCs/>
          <w:sz w:val="20"/>
        </w:rPr>
        <w:t xml:space="preserve">CU </w:t>
      </w:r>
      <w:r>
        <w:rPr>
          <w:rFonts w:eastAsia="等线" w:hint="eastAsia"/>
          <w:bCs/>
          <w:sz w:val="20"/>
        </w:rPr>
        <w:t>SCG</w:t>
      </w:r>
      <w:r>
        <w:rPr>
          <w:rFonts w:eastAsia="等线"/>
          <w:bCs/>
          <w:sz w:val="20"/>
        </w:rPr>
        <w:t xml:space="preserve"> </w:t>
      </w:r>
      <w:r>
        <w:rPr>
          <w:rFonts w:eastAsia="等线" w:hint="eastAsia"/>
          <w:bCs/>
          <w:sz w:val="20"/>
        </w:rPr>
        <w:t>LTM,</w:t>
      </w:r>
      <w:r>
        <w:rPr>
          <w:rFonts w:eastAsia="等线"/>
          <w:bCs/>
          <w:sz w:val="20"/>
        </w:rPr>
        <w:t xml:space="preserve"> RAN2 has reached the following agreements:</w:t>
      </w:r>
    </w:p>
    <w:tbl>
      <w:tblPr>
        <w:tblStyle w:val="af3"/>
        <w:tblW w:w="9629" w:type="dxa"/>
        <w:tblLayout w:type="fixed"/>
        <w:tblLook w:val="04A0" w:firstRow="1" w:lastRow="0" w:firstColumn="1" w:lastColumn="0" w:noHBand="0" w:noVBand="1"/>
      </w:tblPr>
      <w:tblGrid>
        <w:gridCol w:w="9629"/>
      </w:tblGrid>
      <w:tr w:rsidR="006111B6" w14:paraId="6454AE5F" w14:textId="77777777">
        <w:tc>
          <w:tcPr>
            <w:tcW w:w="9629" w:type="dxa"/>
          </w:tcPr>
          <w:p w14:paraId="3BDC3B0A" w14:textId="77777777" w:rsidR="006111B6" w:rsidRDefault="006E7348">
            <w:pPr>
              <w:spacing w:before="120"/>
              <w:rPr>
                <w:rFonts w:eastAsia="等线"/>
                <w:bCs/>
                <w:i/>
                <w:iCs/>
                <w:sz w:val="20"/>
              </w:rPr>
            </w:pPr>
            <w:r>
              <w:rPr>
                <w:rFonts w:eastAsia="等线"/>
                <w:bCs/>
                <w:i/>
                <w:iCs/>
                <w:sz w:val="20"/>
              </w:rPr>
              <w:t>RAN2 #127bis meeting</w:t>
            </w:r>
          </w:p>
          <w:p w14:paraId="0AD1BF56" w14:textId="77777777" w:rsidR="006111B6" w:rsidRDefault="006E7348">
            <w:pPr>
              <w:spacing w:before="120"/>
              <w:rPr>
                <w:rFonts w:eastAsia="等线"/>
                <w:bCs/>
                <w:sz w:val="20"/>
              </w:rPr>
            </w:pPr>
            <w:r>
              <w:rPr>
                <w:rFonts w:eastAsia="等线"/>
                <w:bCs/>
                <w:sz w:val="20"/>
              </w:rPr>
              <w:t>4.</w:t>
            </w:r>
            <w:r>
              <w:rPr>
                <w:rFonts w:eastAsia="等线"/>
                <w:bCs/>
                <w:sz w:val="20"/>
              </w:rPr>
              <w:tab/>
              <w:t>Regarding the candidate and reference configuration generation and signaling design, the following SCPAC-similar principles can be applied for inter-CU SCG LTM as baseline:</w:t>
            </w:r>
          </w:p>
          <w:p w14:paraId="2BA5EB68" w14:textId="77777777" w:rsidR="006111B6" w:rsidRDefault="006E7348">
            <w:pPr>
              <w:spacing w:before="120"/>
              <w:rPr>
                <w:rFonts w:eastAsia="等线"/>
                <w:bCs/>
                <w:sz w:val="20"/>
              </w:rPr>
            </w:pPr>
            <w:r>
              <w:rPr>
                <w:rFonts w:eastAsia="等线"/>
                <w:bCs/>
                <w:sz w:val="20"/>
              </w:rPr>
              <w:lastRenderedPageBreak/>
              <w:tab/>
              <w:t>- The candidate configuration and reference configuration are modeled as an MN RRCReconfiguration message.</w:t>
            </w:r>
          </w:p>
          <w:p w14:paraId="1744D238" w14:textId="77777777" w:rsidR="006111B6" w:rsidRDefault="006E7348">
            <w:pPr>
              <w:spacing w:before="120"/>
              <w:rPr>
                <w:rFonts w:eastAsia="等线"/>
                <w:bCs/>
                <w:sz w:val="20"/>
              </w:rPr>
            </w:pPr>
            <w:r>
              <w:rPr>
                <w:rFonts w:eastAsia="等线"/>
                <w:bCs/>
                <w:sz w:val="20"/>
              </w:rPr>
              <w:tab/>
              <w:t>- The MN generates the MCG part of the reference configuration (if any), while the SN (source or candidate) generates the SCG part of the reference configuration.</w:t>
            </w:r>
          </w:p>
          <w:p w14:paraId="4641753A" w14:textId="77777777" w:rsidR="006111B6" w:rsidRDefault="006E7348">
            <w:pPr>
              <w:spacing w:before="120"/>
              <w:rPr>
                <w:rFonts w:eastAsia="等线"/>
                <w:bCs/>
                <w:sz w:val="20"/>
              </w:rPr>
            </w:pPr>
            <w:r>
              <w:rPr>
                <w:rFonts w:eastAsia="等线"/>
                <w:bCs/>
                <w:sz w:val="20"/>
              </w:rPr>
              <w:tab/>
              <w:t>- The MN is responsible for the reference configuration generation for SN initiated inter-CU SCG LTM. It can be up to the NW implementation whether to include the MCG part.</w:t>
            </w:r>
          </w:p>
          <w:p w14:paraId="583B0577" w14:textId="77777777" w:rsidR="006111B6" w:rsidRDefault="006E7348">
            <w:pPr>
              <w:spacing w:before="120"/>
              <w:rPr>
                <w:rFonts w:eastAsia="等线"/>
                <w:bCs/>
                <w:sz w:val="20"/>
              </w:rPr>
            </w:pPr>
            <w:r>
              <w:rPr>
                <w:rFonts w:eastAsia="等线"/>
                <w:bCs/>
                <w:sz w:val="20"/>
              </w:rPr>
              <w:tab/>
              <w:t>- The MN can request an SCG reference configuration from any of the involved SNs.</w:t>
            </w:r>
          </w:p>
          <w:p w14:paraId="6B4D8670" w14:textId="77777777" w:rsidR="006111B6" w:rsidRDefault="006E7348">
            <w:pPr>
              <w:spacing w:before="120"/>
              <w:rPr>
                <w:rFonts w:eastAsia="等线"/>
                <w:bCs/>
                <w:i/>
                <w:iCs/>
                <w:sz w:val="20"/>
              </w:rPr>
            </w:pPr>
            <w:r>
              <w:rPr>
                <w:rFonts w:eastAsia="等线"/>
                <w:bCs/>
                <w:i/>
                <w:iCs/>
                <w:sz w:val="20"/>
              </w:rPr>
              <w:t>RAN2 #128 meeting</w:t>
            </w:r>
          </w:p>
          <w:p w14:paraId="182B5939" w14:textId="77777777" w:rsidR="006111B6" w:rsidRDefault="006E7348">
            <w:pPr>
              <w:spacing w:before="120"/>
              <w:rPr>
                <w:rFonts w:eastAsia="等线"/>
                <w:bCs/>
                <w:sz w:val="20"/>
              </w:rPr>
            </w:pPr>
            <w:r w:rsidRPr="00DD489F">
              <w:rPr>
                <w:rFonts w:eastAsia="等线"/>
                <w:bCs/>
                <w:sz w:val="20"/>
              </w:rPr>
              <w:t>It's up to NW to ensure that the complete configuration includes the MCG part and SCG part configuration when UE combines the reference and candidate configuration for inter-CU SCG LTM.</w:t>
            </w:r>
          </w:p>
          <w:p w14:paraId="520A8DCA" w14:textId="77777777" w:rsidR="006111B6" w:rsidRDefault="006E7348">
            <w:pPr>
              <w:spacing w:before="120"/>
              <w:rPr>
                <w:rFonts w:eastAsia="等线"/>
                <w:bCs/>
                <w:i/>
                <w:iCs/>
                <w:sz w:val="20"/>
              </w:rPr>
            </w:pPr>
            <w:r>
              <w:rPr>
                <w:rFonts w:eastAsia="等线"/>
                <w:bCs/>
                <w:i/>
                <w:iCs/>
                <w:sz w:val="20"/>
              </w:rPr>
              <w:t>RAN2 #129 meeting</w:t>
            </w:r>
          </w:p>
          <w:p w14:paraId="79EE4D0E" w14:textId="77777777" w:rsidR="006111B6" w:rsidRDefault="006E7348">
            <w:pPr>
              <w:spacing w:before="120"/>
              <w:rPr>
                <w:rFonts w:eastAsia="等线"/>
                <w:bCs/>
                <w:sz w:val="20"/>
              </w:rPr>
            </w:pPr>
            <w:r>
              <w:rPr>
                <w:rFonts w:eastAsia="等线"/>
                <w:bCs/>
                <w:sz w:val="20"/>
              </w:rPr>
              <w:t>3.    The reference configuration related to inter-SN LTM is included within the new ltm-ConfigSCG field.</w:t>
            </w:r>
          </w:p>
          <w:p w14:paraId="460F07A6" w14:textId="77777777" w:rsidR="006111B6" w:rsidRDefault="006E7348">
            <w:pPr>
              <w:spacing w:before="120"/>
              <w:rPr>
                <w:rFonts w:eastAsia="等线"/>
                <w:bCs/>
                <w:sz w:val="20"/>
              </w:rPr>
            </w:pPr>
            <w:r>
              <w:rPr>
                <w:rFonts w:eastAsia="等线"/>
                <w:bCs/>
                <w:sz w:val="20"/>
              </w:rPr>
              <w:t>4.    UE does not combine reference configurations from ltm-Config and ltm-ConfigSCG.</w:t>
            </w:r>
          </w:p>
          <w:p w14:paraId="49A544FE" w14:textId="77777777" w:rsidR="006111B6" w:rsidRDefault="006E7348">
            <w:pPr>
              <w:spacing w:before="120"/>
              <w:rPr>
                <w:rFonts w:eastAsia="等线"/>
                <w:bCs/>
                <w:sz w:val="20"/>
              </w:rPr>
            </w:pPr>
            <w:r>
              <w:rPr>
                <w:rFonts w:eastAsia="等线"/>
                <w:bCs/>
                <w:sz w:val="20"/>
              </w:rPr>
              <w:t xml:space="preserve">5.    </w:t>
            </w:r>
            <w:r>
              <w:rPr>
                <w:rFonts w:eastAsia="等线"/>
                <w:bCs/>
                <w:sz w:val="20"/>
                <w:highlight w:val="yellow"/>
              </w:rPr>
              <w:t>FFS whether only one indication is needed to indicate LTM configuration as complete configuration.</w:t>
            </w:r>
          </w:p>
        </w:tc>
      </w:tr>
    </w:tbl>
    <w:p w14:paraId="1FB25425" w14:textId="77777777" w:rsidR="006111B6" w:rsidRDefault="006E7348">
      <w:pPr>
        <w:spacing w:before="120"/>
        <w:rPr>
          <w:rFonts w:eastAsia="等线"/>
          <w:bCs/>
          <w:sz w:val="20"/>
        </w:rPr>
      </w:pPr>
      <w:r>
        <w:rPr>
          <w:rFonts w:eastAsia="等线" w:hint="eastAsia"/>
          <w:bCs/>
          <w:sz w:val="20"/>
        </w:rPr>
        <w:lastRenderedPageBreak/>
        <w:t>An</w:t>
      </w:r>
      <w:r>
        <w:rPr>
          <w:rFonts w:eastAsia="等线"/>
          <w:bCs/>
          <w:sz w:val="20"/>
        </w:rPr>
        <w:t xml:space="preserve"> </w:t>
      </w:r>
      <w:r>
        <w:rPr>
          <w:rFonts w:eastAsia="等线" w:hint="eastAsia"/>
          <w:bCs/>
          <w:sz w:val="20"/>
        </w:rPr>
        <w:t>open</w:t>
      </w:r>
      <w:r>
        <w:rPr>
          <w:rFonts w:eastAsia="等线"/>
          <w:bCs/>
          <w:sz w:val="20"/>
        </w:rPr>
        <w:t xml:space="preserve"> </w:t>
      </w:r>
      <w:r>
        <w:rPr>
          <w:rFonts w:eastAsia="等线" w:hint="eastAsia"/>
          <w:bCs/>
          <w:sz w:val="20"/>
        </w:rPr>
        <w:t>issue</w:t>
      </w:r>
      <w:r>
        <w:rPr>
          <w:rFonts w:eastAsia="等线"/>
          <w:bCs/>
          <w:sz w:val="20"/>
        </w:rPr>
        <w:t xml:space="preserve"> </w:t>
      </w:r>
      <w:r>
        <w:rPr>
          <w:rFonts w:eastAsia="等线" w:hint="eastAsia"/>
          <w:bCs/>
          <w:sz w:val="20"/>
        </w:rPr>
        <w:t>for</w:t>
      </w:r>
      <w:r>
        <w:rPr>
          <w:rFonts w:eastAsia="等线"/>
          <w:bCs/>
          <w:sz w:val="20"/>
        </w:rPr>
        <w:t xml:space="preserve"> </w:t>
      </w:r>
      <w:r>
        <w:rPr>
          <w:rFonts w:eastAsia="等线" w:hint="eastAsia"/>
          <w:bCs/>
          <w:sz w:val="20"/>
        </w:rPr>
        <w:t>complete</w:t>
      </w:r>
      <w:r>
        <w:rPr>
          <w:rFonts w:eastAsia="等线"/>
          <w:bCs/>
          <w:sz w:val="20"/>
        </w:rPr>
        <w:t xml:space="preserve"> </w:t>
      </w:r>
      <w:r>
        <w:rPr>
          <w:rFonts w:eastAsia="等线" w:hint="eastAsia"/>
          <w:bCs/>
          <w:sz w:val="20"/>
        </w:rPr>
        <w:t>indication</w:t>
      </w:r>
      <w:r>
        <w:rPr>
          <w:rFonts w:eastAsia="等线"/>
          <w:bCs/>
          <w:sz w:val="20"/>
        </w:rPr>
        <w:t xml:space="preserve"> </w:t>
      </w:r>
      <w:r>
        <w:rPr>
          <w:rFonts w:eastAsia="等线" w:hint="eastAsia"/>
          <w:bCs/>
          <w:sz w:val="20"/>
        </w:rPr>
        <w:t>can</w:t>
      </w:r>
      <w:r>
        <w:rPr>
          <w:rFonts w:eastAsia="等线"/>
          <w:bCs/>
          <w:sz w:val="20"/>
        </w:rPr>
        <w:t xml:space="preserve"> </w:t>
      </w:r>
      <w:r>
        <w:rPr>
          <w:rFonts w:eastAsia="等线" w:hint="eastAsia"/>
          <w:bCs/>
          <w:sz w:val="20"/>
        </w:rPr>
        <w:t>be</w:t>
      </w:r>
      <w:r>
        <w:rPr>
          <w:rFonts w:eastAsia="等线"/>
          <w:bCs/>
          <w:sz w:val="20"/>
        </w:rPr>
        <w:t xml:space="preserve"> </w:t>
      </w:r>
      <w:r>
        <w:rPr>
          <w:rFonts w:eastAsia="等线" w:hint="eastAsia"/>
          <w:bCs/>
          <w:sz w:val="20"/>
        </w:rPr>
        <w:t>discusse</w:t>
      </w:r>
      <w:r>
        <w:rPr>
          <w:rFonts w:eastAsia="等线"/>
          <w:bCs/>
          <w:sz w:val="20"/>
        </w:rPr>
        <w:t>d, there are two options:</w:t>
      </w:r>
    </w:p>
    <w:p w14:paraId="1752DCEC" w14:textId="77777777" w:rsidR="006111B6" w:rsidRDefault="006E7348">
      <w:pPr>
        <w:spacing w:before="120"/>
        <w:rPr>
          <w:rFonts w:eastAsia="等线"/>
          <w:bCs/>
          <w:sz w:val="20"/>
        </w:rPr>
      </w:pPr>
      <w:r>
        <w:rPr>
          <w:rFonts w:eastAsia="等线"/>
          <w:bCs/>
          <w:sz w:val="20"/>
        </w:rPr>
        <w:t xml:space="preserve">Option 1: For inter-SN LTM, one indication is needed to indicate LTM configuration as complete configuration in </w:t>
      </w:r>
      <w:r>
        <w:rPr>
          <w:rFonts w:eastAsia="等线"/>
          <w:bCs/>
          <w:i/>
          <w:iCs/>
          <w:sz w:val="20"/>
        </w:rPr>
        <w:t>LTM-ConfigNRDC-r19</w:t>
      </w:r>
      <w:r>
        <w:rPr>
          <w:rFonts w:eastAsia="等线"/>
          <w:bCs/>
          <w:sz w:val="20"/>
        </w:rPr>
        <w:t>.</w:t>
      </w:r>
    </w:p>
    <w:p w14:paraId="60F1F62A" w14:textId="77777777" w:rsidR="006111B6" w:rsidRDefault="006E7348">
      <w:pPr>
        <w:spacing w:before="120"/>
        <w:rPr>
          <w:rFonts w:eastAsia="等线"/>
          <w:bCs/>
          <w:sz w:val="20"/>
        </w:rPr>
      </w:pPr>
      <w:r>
        <w:rPr>
          <w:rFonts w:eastAsia="等线" w:hint="eastAsia"/>
          <w:bCs/>
          <w:sz w:val="20"/>
        </w:rPr>
        <w:t>O</w:t>
      </w:r>
      <w:r>
        <w:rPr>
          <w:rFonts w:eastAsia="等线"/>
          <w:bCs/>
          <w:sz w:val="20"/>
        </w:rPr>
        <w:t>ption 2:</w:t>
      </w:r>
      <w:r>
        <w:t xml:space="preserve"> </w:t>
      </w:r>
      <w:r>
        <w:rPr>
          <w:rFonts w:eastAsia="等线"/>
          <w:bCs/>
          <w:sz w:val="20"/>
        </w:rPr>
        <w:t xml:space="preserve">For inter-SN LTM, two independent complete indicators are </w:t>
      </w:r>
      <w:r>
        <w:rPr>
          <w:rFonts w:eastAsia="等线" w:hint="eastAsia"/>
          <w:bCs/>
          <w:sz w:val="20"/>
        </w:rPr>
        <w:t>used</w:t>
      </w:r>
      <w:r>
        <w:rPr>
          <w:rFonts w:eastAsia="等线"/>
          <w:bCs/>
          <w:sz w:val="20"/>
        </w:rPr>
        <w:t xml:space="preserve"> </w:t>
      </w:r>
      <w:r>
        <w:rPr>
          <w:rFonts w:eastAsia="等线" w:hint="eastAsia"/>
          <w:bCs/>
          <w:sz w:val="20"/>
        </w:rPr>
        <w:t>for</w:t>
      </w:r>
      <w:r>
        <w:rPr>
          <w:rFonts w:eastAsia="等线"/>
          <w:bCs/>
          <w:sz w:val="20"/>
        </w:rPr>
        <w:t xml:space="preserve"> </w:t>
      </w:r>
      <w:r>
        <w:rPr>
          <w:rFonts w:eastAsia="等线" w:hint="eastAsia"/>
          <w:bCs/>
          <w:sz w:val="20"/>
        </w:rPr>
        <w:t>MCG</w:t>
      </w:r>
      <w:r>
        <w:rPr>
          <w:rFonts w:eastAsia="等线"/>
          <w:bCs/>
          <w:sz w:val="20"/>
        </w:rPr>
        <w:t xml:space="preserve"> </w:t>
      </w:r>
      <w:r>
        <w:rPr>
          <w:rFonts w:eastAsia="等线" w:hint="eastAsia"/>
          <w:bCs/>
          <w:sz w:val="20"/>
        </w:rPr>
        <w:t>part</w:t>
      </w:r>
      <w:r>
        <w:rPr>
          <w:rFonts w:eastAsia="等线"/>
          <w:bCs/>
          <w:sz w:val="20"/>
        </w:rPr>
        <w:t xml:space="preserve"> </w:t>
      </w:r>
      <w:r>
        <w:rPr>
          <w:rFonts w:eastAsia="等线" w:hint="eastAsia"/>
          <w:bCs/>
          <w:sz w:val="20"/>
        </w:rPr>
        <w:t>and</w:t>
      </w:r>
      <w:r>
        <w:rPr>
          <w:rFonts w:eastAsia="等线"/>
          <w:bCs/>
          <w:sz w:val="20"/>
        </w:rPr>
        <w:t xml:space="preserve"> </w:t>
      </w:r>
      <w:r>
        <w:rPr>
          <w:rFonts w:eastAsia="等线" w:hint="eastAsia"/>
          <w:bCs/>
          <w:sz w:val="20"/>
        </w:rPr>
        <w:t>SCG</w:t>
      </w:r>
      <w:r>
        <w:rPr>
          <w:rFonts w:eastAsia="等线"/>
          <w:bCs/>
          <w:sz w:val="20"/>
        </w:rPr>
        <w:t xml:space="preserve"> </w:t>
      </w:r>
      <w:r>
        <w:rPr>
          <w:rFonts w:eastAsia="等线" w:hint="eastAsia"/>
          <w:bCs/>
          <w:sz w:val="20"/>
        </w:rPr>
        <w:t>part</w:t>
      </w:r>
      <w:r>
        <w:rPr>
          <w:rFonts w:eastAsia="等线"/>
          <w:bCs/>
          <w:sz w:val="20"/>
        </w:rPr>
        <w:t xml:space="preserve"> </w:t>
      </w:r>
      <w:r>
        <w:rPr>
          <w:rFonts w:eastAsia="等线" w:hint="eastAsia"/>
          <w:bCs/>
          <w:sz w:val="20"/>
        </w:rPr>
        <w:t>LTM</w:t>
      </w:r>
      <w:r>
        <w:rPr>
          <w:rFonts w:eastAsia="等线"/>
          <w:bCs/>
          <w:sz w:val="20"/>
        </w:rPr>
        <w:t xml:space="preserve"> </w:t>
      </w:r>
      <w:r>
        <w:rPr>
          <w:rFonts w:eastAsia="等线" w:hint="eastAsia"/>
          <w:bCs/>
          <w:sz w:val="20"/>
        </w:rPr>
        <w:t>configuration</w:t>
      </w:r>
      <w:r>
        <w:rPr>
          <w:rFonts w:eastAsia="等线"/>
          <w:bCs/>
          <w:sz w:val="20"/>
        </w:rPr>
        <w:t xml:space="preserve"> </w:t>
      </w:r>
      <w:r>
        <w:rPr>
          <w:rFonts w:eastAsia="等线" w:hint="eastAsia"/>
          <w:bCs/>
          <w:sz w:val="20"/>
        </w:rPr>
        <w:t>i</w:t>
      </w:r>
      <w:r>
        <w:rPr>
          <w:rFonts w:eastAsia="等线"/>
          <w:bCs/>
          <w:sz w:val="20"/>
        </w:rPr>
        <w:t xml:space="preserve">n </w:t>
      </w:r>
      <w:r>
        <w:rPr>
          <w:rFonts w:eastAsia="等线"/>
          <w:bCs/>
          <w:i/>
          <w:iCs/>
          <w:sz w:val="20"/>
        </w:rPr>
        <w:t>LTM-ConfigNRDC-r19</w:t>
      </w:r>
      <w:r>
        <w:rPr>
          <w:rFonts w:eastAsia="等线" w:hint="eastAsia"/>
          <w:bCs/>
          <w:sz w:val="20"/>
        </w:rPr>
        <w:t>,</w:t>
      </w:r>
      <w:r>
        <w:rPr>
          <w:rFonts w:eastAsia="等线"/>
          <w:bCs/>
          <w:sz w:val="20"/>
        </w:rPr>
        <w:t xml:space="preserve"> respectively.</w:t>
      </w:r>
    </w:p>
    <w:p w14:paraId="3D7D9E72" w14:textId="650296CA" w:rsidR="006111B6" w:rsidRDefault="006E7348">
      <w:pPr>
        <w:spacing w:before="120"/>
        <w:rPr>
          <w:rFonts w:eastAsia="等线"/>
          <w:bCs/>
          <w:sz w:val="20"/>
        </w:rPr>
      </w:pPr>
      <w:r>
        <w:rPr>
          <w:rFonts w:eastAsia="等线"/>
          <w:bCs/>
          <w:sz w:val="20"/>
        </w:rPr>
        <w:t>For option 2, if one indicator is “true” and another indicator is “false”, the UE behaviours for SCG LTM execution will be very complicated and the UE should apply the MCG and SCG configuration independently. For example, if the MCG part indicator is “false” but the</w:t>
      </w:r>
      <w:r>
        <w:t xml:space="preserve"> </w:t>
      </w:r>
      <w:r>
        <w:rPr>
          <w:rFonts w:eastAsia="等线"/>
          <w:bCs/>
          <w:sz w:val="20"/>
        </w:rPr>
        <w:t xml:space="preserve">SCG part indicator is “true”, the UE shall consider the </w:t>
      </w:r>
      <w:r w:rsidR="008D1F56">
        <w:rPr>
          <w:rFonts w:eastAsia="等线"/>
          <w:bCs/>
          <w:sz w:val="20"/>
        </w:rPr>
        <w:t>M</w:t>
      </w:r>
      <w:r>
        <w:rPr>
          <w:rFonts w:eastAsia="等线"/>
          <w:bCs/>
          <w:sz w:val="20"/>
        </w:rPr>
        <w:t xml:space="preserve">CG part </w:t>
      </w:r>
      <w:r>
        <w:rPr>
          <w:rFonts w:eastAsia="等线" w:hint="eastAsia"/>
          <w:bCs/>
          <w:sz w:val="20"/>
        </w:rPr>
        <w:t>of</w:t>
      </w:r>
      <w:r>
        <w:rPr>
          <w:rFonts w:eastAsia="等线"/>
          <w:bCs/>
          <w:sz w:val="20"/>
        </w:rPr>
        <w:t xml:space="preserve"> </w:t>
      </w:r>
      <w:r>
        <w:rPr>
          <w:rFonts w:eastAsia="等线" w:hint="eastAsia"/>
          <w:bCs/>
          <w:sz w:val="20"/>
        </w:rPr>
        <w:t>reference</w:t>
      </w:r>
      <w:r>
        <w:rPr>
          <w:rFonts w:eastAsia="等线"/>
          <w:bCs/>
          <w:sz w:val="20"/>
        </w:rPr>
        <w:t xml:space="preserve"> </w:t>
      </w:r>
      <w:r>
        <w:rPr>
          <w:rFonts w:eastAsia="等线" w:hint="eastAsia"/>
          <w:bCs/>
          <w:sz w:val="20"/>
        </w:rPr>
        <w:t>configuration</w:t>
      </w:r>
      <w:r>
        <w:rPr>
          <w:rFonts w:eastAsia="等线"/>
          <w:bCs/>
          <w:sz w:val="20"/>
        </w:rPr>
        <w:t xml:space="preserve"> </w:t>
      </w:r>
      <w:r>
        <w:rPr>
          <w:rFonts w:eastAsia="等线" w:hint="eastAsia"/>
          <w:bCs/>
          <w:sz w:val="20"/>
        </w:rPr>
        <w:t>to</w:t>
      </w:r>
      <w:r>
        <w:rPr>
          <w:rFonts w:eastAsia="等线"/>
          <w:bCs/>
          <w:sz w:val="20"/>
        </w:rPr>
        <w:t xml:space="preserve"> </w:t>
      </w:r>
      <w:r>
        <w:rPr>
          <w:rFonts w:eastAsia="等线" w:hint="eastAsia"/>
          <w:bCs/>
          <w:sz w:val="20"/>
        </w:rPr>
        <w:t>be</w:t>
      </w:r>
      <w:r>
        <w:rPr>
          <w:rFonts w:eastAsia="等线"/>
          <w:bCs/>
          <w:sz w:val="20"/>
        </w:rPr>
        <w:t xml:space="preserve"> </w:t>
      </w:r>
      <w:r>
        <w:rPr>
          <w:rFonts w:eastAsia="等线" w:hint="eastAsia"/>
          <w:bCs/>
          <w:sz w:val="20"/>
        </w:rPr>
        <w:t>the</w:t>
      </w:r>
      <w:r>
        <w:rPr>
          <w:rFonts w:eastAsia="等线"/>
          <w:bCs/>
          <w:sz w:val="20"/>
        </w:rPr>
        <w:t xml:space="preserve"> </w:t>
      </w:r>
      <w:r w:rsidR="008D1F56">
        <w:rPr>
          <w:rFonts w:eastAsia="等线"/>
          <w:bCs/>
          <w:sz w:val="20"/>
        </w:rPr>
        <w:t>M</w:t>
      </w:r>
      <w:r>
        <w:rPr>
          <w:rFonts w:eastAsia="等线" w:hint="eastAsia"/>
          <w:bCs/>
          <w:sz w:val="20"/>
        </w:rPr>
        <w:t>CG</w:t>
      </w:r>
      <w:r>
        <w:rPr>
          <w:rFonts w:eastAsia="等线"/>
          <w:bCs/>
          <w:sz w:val="20"/>
        </w:rPr>
        <w:t xml:space="preserve"> </w:t>
      </w:r>
      <w:r>
        <w:rPr>
          <w:rFonts w:eastAsia="等线" w:hint="eastAsia"/>
          <w:bCs/>
          <w:sz w:val="20"/>
        </w:rPr>
        <w:t>part</w:t>
      </w:r>
      <w:r>
        <w:rPr>
          <w:rFonts w:eastAsia="等线"/>
          <w:bCs/>
          <w:sz w:val="20"/>
        </w:rPr>
        <w:t xml:space="preserve"> </w:t>
      </w:r>
      <w:r>
        <w:rPr>
          <w:rFonts w:eastAsia="等线" w:hint="eastAsia"/>
          <w:bCs/>
          <w:sz w:val="20"/>
        </w:rPr>
        <w:t>of</w:t>
      </w:r>
      <w:r>
        <w:rPr>
          <w:rFonts w:eastAsia="等线"/>
          <w:bCs/>
          <w:sz w:val="20"/>
        </w:rPr>
        <w:t xml:space="preserve"> </w:t>
      </w:r>
      <w:r>
        <w:rPr>
          <w:rFonts w:eastAsia="等线" w:hint="eastAsia"/>
          <w:bCs/>
          <w:sz w:val="20"/>
        </w:rPr>
        <w:t>current</w:t>
      </w:r>
      <w:r>
        <w:rPr>
          <w:rFonts w:eastAsia="等线"/>
          <w:bCs/>
          <w:sz w:val="20"/>
        </w:rPr>
        <w:t xml:space="preserve"> </w:t>
      </w:r>
      <w:r>
        <w:rPr>
          <w:rFonts w:eastAsia="等线" w:hint="eastAsia"/>
          <w:bCs/>
          <w:sz w:val="20"/>
        </w:rPr>
        <w:t>UE</w:t>
      </w:r>
      <w:r>
        <w:rPr>
          <w:rFonts w:eastAsia="等线"/>
          <w:bCs/>
          <w:sz w:val="20"/>
        </w:rPr>
        <w:t xml:space="preserve"> </w:t>
      </w:r>
      <w:r>
        <w:rPr>
          <w:rFonts w:eastAsia="等线" w:hint="eastAsia"/>
          <w:bCs/>
          <w:sz w:val="20"/>
        </w:rPr>
        <w:t>configuration</w:t>
      </w:r>
      <w:r>
        <w:rPr>
          <w:rFonts w:eastAsia="等线"/>
          <w:bCs/>
          <w:sz w:val="20"/>
        </w:rPr>
        <w:t xml:space="preserve"> </w:t>
      </w:r>
      <w:r>
        <w:rPr>
          <w:rFonts w:eastAsia="等线" w:hint="eastAsia"/>
          <w:bCs/>
          <w:sz w:val="20"/>
        </w:rPr>
        <w:t>and</w:t>
      </w:r>
      <w:r>
        <w:rPr>
          <w:rFonts w:eastAsia="等线"/>
          <w:bCs/>
          <w:sz w:val="20"/>
        </w:rPr>
        <w:t xml:space="preserve"> </w:t>
      </w:r>
      <w:r>
        <w:rPr>
          <w:rFonts w:eastAsia="等线" w:hint="eastAsia"/>
          <w:bCs/>
          <w:sz w:val="20"/>
        </w:rPr>
        <w:t>ignore</w:t>
      </w:r>
      <w:r>
        <w:rPr>
          <w:rFonts w:eastAsia="等线"/>
          <w:bCs/>
          <w:sz w:val="20"/>
        </w:rPr>
        <w:t xml:space="preserve"> </w:t>
      </w:r>
      <w:r>
        <w:rPr>
          <w:rFonts w:eastAsia="等线" w:hint="eastAsia"/>
          <w:bCs/>
          <w:sz w:val="20"/>
        </w:rPr>
        <w:t>the</w:t>
      </w:r>
      <w:r>
        <w:rPr>
          <w:rFonts w:eastAsia="等线"/>
          <w:bCs/>
          <w:sz w:val="20"/>
        </w:rPr>
        <w:t xml:space="preserve"> </w:t>
      </w:r>
      <w:r w:rsidR="008D1F56">
        <w:rPr>
          <w:rFonts w:eastAsia="等线"/>
          <w:bCs/>
          <w:sz w:val="20"/>
        </w:rPr>
        <w:t>S</w:t>
      </w:r>
      <w:r>
        <w:rPr>
          <w:rFonts w:eastAsia="等线" w:hint="eastAsia"/>
          <w:bCs/>
          <w:sz w:val="20"/>
        </w:rPr>
        <w:t>CG</w:t>
      </w:r>
      <w:r>
        <w:rPr>
          <w:rFonts w:eastAsia="等线"/>
          <w:bCs/>
          <w:sz w:val="20"/>
        </w:rPr>
        <w:t xml:space="preserve"> </w:t>
      </w:r>
      <w:r>
        <w:rPr>
          <w:rFonts w:eastAsia="等线" w:hint="eastAsia"/>
          <w:bCs/>
          <w:sz w:val="20"/>
        </w:rPr>
        <w:t>part</w:t>
      </w:r>
      <w:r>
        <w:rPr>
          <w:rFonts w:eastAsia="等线"/>
          <w:bCs/>
          <w:sz w:val="20"/>
        </w:rPr>
        <w:t xml:space="preserve"> </w:t>
      </w:r>
      <w:r>
        <w:rPr>
          <w:rFonts w:eastAsia="等线" w:hint="eastAsia"/>
          <w:bCs/>
          <w:sz w:val="20"/>
        </w:rPr>
        <w:t>of</w:t>
      </w:r>
      <w:r>
        <w:rPr>
          <w:rFonts w:eastAsia="等线"/>
          <w:bCs/>
          <w:sz w:val="20"/>
        </w:rPr>
        <w:t xml:space="preserve"> reference configuration</w:t>
      </w:r>
      <w:r>
        <w:rPr>
          <w:rFonts w:eastAsia="等线" w:hint="eastAsia"/>
          <w:bCs/>
          <w:sz w:val="20"/>
        </w:rPr>
        <w:t xml:space="preserve">. </w:t>
      </w:r>
      <w:r>
        <w:rPr>
          <w:rFonts w:eastAsia="等线"/>
          <w:bCs/>
          <w:sz w:val="20"/>
        </w:rPr>
        <w:t>Option 1 is a simple and straightforward method. F</w:t>
      </w:r>
      <w:r>
        <w:rPr>
          <w:rFonts w:eastAsia="等线" w:hint="eastAsia"/>
          <w:bCs/>
          <w:sz w:val="20"/>
        </w:rPr>
        <w:t>or</w:t>
      </w:r>
      <w:r>
        <w:rPr>
          <w:rFonts w:eastAsia="等线"/>
          <w:bCs/>
          <w:sz w:val="20"/>
        </w:rPr>
        <w:t xml:space="preserve"> </w:t>
      </w:r>
      <w:r>
        <w:rPr>
          <w:rFonts w:eastAsia="等线" w:hint="eastAsia"/>
          <w:bCs/>
          <w:sz w:val="20"/>
        </w:rPr>
        <w:t>Option</w:t>
      </w:r>
      <w:r>
        <w:rPr>
          <w:rFonts w:eastAsia="等线"/>
          <w:bCs/>
          <w:sz w:val="20"/>
        </w:rPr>
        <w:t xml:space="preserve"> 1, </w:t>
      </w:r>
      <w:r>
        <w:rPr>
          <w:rFonts w:eastAsia="等线" w:hint="eastAsia"/>
          <w:bCs/>
          <w:sz w:val="20"/>
        </w:rPr>
        <w:t>if</w:t>
      </w:r>
      <w:r>
        <w:rPr>
          <w:rFonts w:eastAsia="等线"/>
          <w:bCs/>
          <w:sz w:val="20"/>
        </w:rPr>
        <w:t xml:space="preserve"> </w:t>
      </w:r>
      <w:r>
        <w:rPr>
          <w:rFonts w:eastAsia="等线" w:hint="eastAsia"/>
          <w:bCs/>
          <w:sz w:val="20"/>
        </w:rPr>
        <w:t>the</w:t>
      </w:r>
      <w:r>
        <w:rPr>
          <w:rFonts w:eastAsia="等线"/>
          <w:bCs/>
          <w:sz w:val="20"/>
        </w:rPr>
        <w:t xml:space="preserve"> indication </w:t>
      </w:r>
      <w:r>
        <w:rPr>
          <w:rFonts w:eastAsia="等线" w:hint="eastAsia"/>
          <w:bCs/>
          <w:sz w:val="20"/>
        </w:rPr>
        <w:t>is</w:t>
      </w:r>
      <w:r>
        <w:rPr>
          <w:rFonts w:eastAsia="等线"/>
          <w:bCs/>
          <w:sz w:val="20"/>
        </w:rPr>
        <w:t xml:space="preserve"> “false”, </w:t>
      </w:r>
      <w:r>
        <w:rPr>
          <w:rFonts w:eastAsia="等线" w:hint="eastAsia"/>
          <w:bCs/>
          <w:sz w:val="20"/>
        </w:rPr>
        <w:t>the</w:t>
      </w:r>
      <w:r>
        <w:rPr>
          <w:rFonts w:eastAsia="等线"/>
          <w:bCs/>
          <w:sz w:val="20"/>
        </w:rPr>
        <w:t xml:space="preserve"> UE shall consider the reference configuration to be the </w:t>
      </w:r>
      <w:r>
        <w:rPr>
          <w:rFonts w:eastAsia="等线" w:hint="eastAsia"/>
          <w:bCs/>
          <w:sz w:val="20"/>
        </w:rPr>
        <w:t>whole</w:t>
      </w:r>
      <w:r>
        <w:rPr>
          <w:rFonts w:eastAsia="等线"/>
          <w:bCs/>
          <w:sz w:val="20"/>
        </w:rPr>
        <w:t xml:space="preserve"> current UE configuration </w:t>
      </w:r>
      <w:r>
        <w:rPr>
          <w:rFonts w:eastAsia="等线" w:hint="eastAsia"/>
          <w:bCs/>
          <w:sz w:val="20"/>
        </w:rPr>
        <w:t>and</w:t>
      </w:r>
      <w:r>
        <w:rPr>
          <w:rFonts w:eastAsia="等线"/>
          <w:bCs/>
          <w:sz w:val="20"/>
        </w:rPr>
        <w:t xml:space="preserve"> </w:t>
      </w:r>
      <w:r>
        <w:rPr>
          <w:rFonts w:eastAsia="等线" w:hint="eastAsia"/>
          <w:bCs/>
          <w:sz w:val="20"/>
        </w:rPr>
        <w:t>the</w:t>
      </w:r>
      <w:r>
        <w:rPr>
          <w:rFonts w:eastAsia="等线"/>
          <w:bCs/>
          <w:sz w:val="20"/>
        </w:rPr>
        <w:t xml:space="preserve"> </w:t>
      </w:r>
      <w:r>
        <w:rPr>
          <w:rFonts w:eastAsia="等线" w:hint="eastAsia"/>
          <w:bCs/>
          <w:sz w:val="20"/>
        </w:rPr>
        <w:t>UE</w:t>
      </w:r>
      <w:r>
        <w:rPr>
          <w:rFonts w:eastAsia="等线"/>
          <w:bCs/>
          <w:sz w:val="20"/>
        </w:rPr>
        <w:t xml:space="preserve"> </w:t>
      </w:r>
      <w:r>
        <w:rPr>
          <w:rFonts w:eastAsia="等线" w:hint="eastAsia"/>
          <w:bCs/>
          <w:sz w:val="20"/>
        </w:rPr>
        <w:t>don</w:t>
      </w:r>
      <w:r>
        <w:rPr>
          <w:rFonts w:eastAsia="等线"/>
          <w:bCs/>
          <w:sz w:val="20"/>
        </w:rPr>
        <w:t>’</w:t>
      </w:r>
      <w:r>
        <w:rPr>
          <w:rFonts w:eastAsia="等线" w:hint="eastAsia"/>
          <w:bCs/>
          <w:sz w:val="20"/>
        </w:rPr>
        <w:t>t</w:t>
      </w:r>
      <w:r>
        <w:rPr>
          <w:rFonts w:eastAsia="等线"/>
          <w:bCs/>
          <w:sz w:val="20"/>
        </w:rPr>
        <w:t xml:space="preserve"> </w:t>
      </w:r>
      <w:r>
        <w:rPr>
          <w:rFonts w:eastAsia="等线" w:hint="eastAsia"/>
          <w:bCs/>
          <w:sz w:val="20"/>
        </w:rPr>
        <w:t>need</w:t>
      </w:r>
      <w:r>
        <w:rPr>
          <w:rFonts w:eastAsia="等线"/>
          <w:bCs/>
          <w:sz w:val="20"/>
        </w:rPr>
        <w:t xml:space="preserve"> </w:t>
      </w:r>
      <w:r>
        <w:rPr>
          <w:rFonts w:eastAsia="等线" w:hint="eastAsia"/>
          <w:bCs/>
          <w:sz w:val="20"/>
        </w:rPr>
        <w:t>to</w:t>
      </w:r>
      <w:r>
        <w:rPr>
          <w:rFonts w:eastAsia="等线"/>
          <w:bCs/>
          <w:sz w:val="20"/>
        </w:rPr>
        <w:t xml:space="preserve"> differentiate </w:t>
      </w:r>
      <w:r>
        <w:rPr>
          <w:rFonts w:eastAsia="等线" w:hint="eastAsia"/>
          <w:bCs/>
          <w:sz w:val="20"/>
        </w:rPr>
        <w:t>MCG</w:t>
      </w:r>
      <w:r>
        <w:rPr>
          <w:rFonts w:eastAsia="等线"/>
          <w:bCs/>
          <w:sz w:val="20"/>
        </w:rPr>
        <w:t xml:space="preserve"> </w:t>
      </w:r>
      <w:r>
        <w:rPr>
          <w:rFonts w:eastAsia="等线" w:hint="eastAsia"/>
          <w:bCs/>
          <w:sz w:val="20"/>
        </w:rPr>
        <w:t>part</w:t>
      </w:r>
      <w:r>
        <w:rPr>
          <w:rFonts w:eastAsia="等线"/>
          <w:bCs/>
          <w:sz w:val="20"/>
        </w:rPr>
        <w:t xml:space="preserve"> </w:t>
      </w:r>
      <w:r>
        <w:rPr>
          <w:rFonts w:eastAsia="等线" w:hint="eastAsia"/>
          <w:bCs/>
          <w:sz w:val="20"/>
        </w:rPr>
        <w:t>and</w:t>
      </w:r>
      <w:r>
        <w:rPr>
          <w:rFonts w:eastAsia="等线"/>
          <w:bCs/>
          <w:sz w:val="20"/>
        </w:rPr>
        <w:t xml:space="preserve"> </w:t>
      </w:r>
      <w:r>
        <w:rPr>
          <w:rFonts w:eastAsia="等线" w:hint="eastAsia"/>
          <w:bCs/>
          <w:sz w:val="20"/>
        </w:rPr>
        <w:t>SCG</w:t>
      </w:r>
      <w:r>
        <w:rPr>
          <w:rFonts w:eastAsia="等线"/>
          <w:bCs/>
          <w:sz w:val="20"/>
        </w:rPr>
        <w:t xml:space="preserve"> </w:t>
      </w:r>
      <w:r>
        <w:rPr>
          <w:rFonts w:eastAsia="等线" w:hint="eastAsia"/>
          <w:bCs/>
          <w:sz w:val="20"/>
        </w:rPr>
        <w:t>part</w:t>
      </w:r>
      <w:r w:rsidR="008D1F56">
        <w:rPr>
          <w:rFonts w:eastAsia="等线"/>
          <w:bCs/>
          <w:sz w:val="20"/>
        </w:rPr>
        <w:t xml:space="preserve"> configuration</w:t>
      </w:r>
      <w:r>
        <w:rPr>
          <w:rFonts w:eastAsia="等线"/>
          <w:bCs/>
          <w:sz w:val="20"/>
        </w:rPr>
        <w:t>. H</w:t>
      </w:r>
      <w:r>
        <w:rPr>
          <w:rFonts w:eastAsia="等线" w:hint="eastAsia"/>
          <w:bCs/>
          <w:sz w:val="20"/>
        </w:rPr>
        <w:t>ence</w:t>
      </w:r>
      <w:r>
        <w:rPr>
          <w:rFonts w:eastAsia="等线"/>
          <w:bCs/>
          <w:sz w:val="20"/>
        </w:rPr>
        <w:t xml:space="preserve">, </w:t>
      </w:r>
      <w:r>
        <w:rPr>
          <w:rFonts w:eastAsia="等线" w:hint="eastAsia"/>
          <w:bCs/>
          <w:sz w:val="20"/>
        </w:rPr>
        <w:t>Option</w:t>
      </w:r>
      <w:r>
        <w:rPr>
          <w:rFonts w:eastAsia="等线"/>
          <w:bCs/>
          <w:sz w:val="20"/>
        </w:rPr>
        <w:t xml:space="preserve"> 1 </w:t>
      </w:r>
      <w:r>
        <w:rPr>
          <w:rFonts w:eastAsia="等线" w:hint="eastAsia"/>
          <w:bCs/>
          <w:sz w:val="20"/>
        </w:rPr>
        <w:t>can</w:t>
      </w:r>
      <w:r>
        <w:rPr>
          <w:rFonts w:eastAsia="等线"/>
          <w:bCs/>
          <w:sz w:val="20"/>
        </w:rPr>
        <w:t xml:space="preserve"> </w:t>
      </w:r>
      <w:r>
        <w:rPr>
          <w:rFonts w:eastAsia="等线" w:hint="eastAsia"/>
          <w:bCs/>
          <w:sz w:val="20"/>
        </w:rPr>
        <w:t>be</w:t>
      </w:r>
      <w:r>
        <w:rPr>
          <w:rFonts w:eastAsia="等线"/>
          <w:bCs/>
          <w:sz w:val="20"/>
        </w:rPr>
        <w:t xml:space="preserve"> </w:t>
      </w:r>
      <w:r>
        <w:rPr>
          <w:rFonts w:eastAsia="等线" w:hint="eastAsia"/>
          <w:bCs/>
          <w:sz w:val="20"/>
        </w:rPr>
        <w:t>confirmed</w:t>
      </w:r>
      <w:r>
        <w:rPr>
          <w:rFonts w:eastAsia="等线"/>
          <w:bCs/>
          <w:sz w:val="20"/>
        </w:rPr>
        <w:t>.</w:t>
      </w:r>
    </w:p>
    <w:p w14:paraId="1734588E" w14:textId="77777777" w:rsidR="006111B6" w:rsidRDefault="006E7348">
      <w:pPr>
        <w:spacing w:before="120"/>
        <w:rPr>
          <w:rFonts w:eastAsia="等线"/>
          <w:b/>
          <w:sz w:val="20"/>
        </w:rPr>
      </w:pPr>
      <w:r>
        <w:rPr>
          <w:rFonts w:eastAsia="等线" w:hint="eastAsia"/>
          <w:b/>
          <w:sz w:val="20"/>
        </w:rPr>
        <w:t>Proposal</w:t>
      </w:r>
      <w:r>
        <w:rPr>
          <w:rFonts w:eastAsia="等线"/>
          <w:b/>
          <w:sz w:val="20"/>
        </w:rPr>
        <w:t xml:space="preserve"> 7: </w:t>
      </w:r>
      <w:r>
        <w:rPr>
          <w:rFonts w:eastAsia="等线" w:hint="eastAsia"/>
          <w:b/>
          <w:sz w:val="20"/>
        </w:rPr>
        <w:t>For</w:t>
      </w:r>
      <w:r>
        <w:rPr>
          <w:rFonts w:eastAsia="等线"/>
          <w:b/>
          <w:sz w:val="20"/>
        </w:rPr>
        <w:t xml:space="preserve"> </w:t>
      </w:r>
      <w:r>
        <w:rPr>
          <w:rFonts w:eastAsia="等线" w:hint="eastAsia"/>
          <w:b/>
          <w:sz w:val="20"/>
        </w:rPr>
        <w:t>inter</w:t>
      </w:r>
      <w:r>
        <w:rPr>
          <w:rFonts w:eastAsia="等线"/>
          <w:b/>
          <w:sz w:val="20"/>
        </w:rPr>
        <w:t>-</w:t>
      </w:r>
      <w:r>
        <w:rPr>
          <w:rFonts w:eastAsia="等线" w:hint="eastAsia"/>
          <w:b/>
          <w:sz w:val="20"/>
        </w:rPr>
        <w:t>SN</w:t>
      </w:r>
      <w:r>
        <w:rPr>
          <w:rFonts w:eastAsia="等线"/>
          <w:b/>
          <w:sz w:val="20"/>
        </w:rPr>
        <w:t xml:space="preserve"> </w:t>
      </w:r>
      <w:r>
        <w:rPr>
          <w:rFonts w:eastAsia="等线" w:hint="eastAsia"/>
          <w:b/>
          <w:sz w:val="20"/>
        </w:rPr>
        <w:t>SCG</w:t>
      </w:r>
      <w:r>
        <w:rPr>
          <w:rFonts w:eastAsia="等线"/>
          <w:b/>
          <w:sz w:val="20"/>
        </w:rPr>
        <w:t xml:space="preserve"> </w:t>
      </w:r>
      <w:r>
        <w:rPr>
          <w:rFonts w:eastAsia="等线" w:hint="eastAsia"/>
          <w:b/>
          <w:sz w:val="20"/>
        </w:rPr>
        <w:t>LTM</w:t>
      </w:r>
      <w:r>
        <w:rPr>
          <w:rFonts w:eastAsia="等线"/>
          <w:b/>
          <w:sz w:val="20"/>
        </w:rPr>
        <w:t>, RAN2 confirms only one indication is needed to indicate LTM configuration as complete configuration.</w:t>
      </w:r>
    </w:p>
    <w:p w14:paraId="4E35EA98" w14:textId="77777777" w:rsidR="006111B6" w:rsidRDefault="006E7348">
      <w:pPr>
        <w:pStyle w:val="1"/>
        <w:jc w:val="left"/>
      </w:pPr>
      <w:r>
        <w:t>Conclusions</w:t>
      </w:r>
    </w:p>
    <w:p w14:paraId="0575AD1A" w14:textId="77777777" w:rsidR="006111B6" w:rsidRDefault="006E7348" w:rsidP="00B63C77">
      <w:pPr>
        <w:spacing w:before="120"/>
        <w:jc w:val="left"/>
        <w:rPr>
          <w:sz w:val="20"/>
        </w:rPr>
      </w:pPr>
      <w:r>
        <w:rPr>
          <w:sz w:val="20"/>
        </w:rPr>
        <w:t xml:space="preserve">According to the analysis given above, we have the following </w:t>
      </w:r>
      <w:r>
        <w:rPr>
          <w:rFonts w:eastAsia="等线" w:hint="eastAsia"/>
          <w:sz w:val="20"/>
        </w:rPr>
        <w:t>observation</w:t>
      </w:r>
      <w:r>
        <w:rPr>
          <w:rFonts w:hint="eastAsia"/>
          <w:sz w:val="20"/>
        </w:rPr>
        <w:t>s</w:t>
      </w:r>
      <w:r>
        <w:rPr>
          <w:sz w:val="20"/>
        </w:rPr>
        <w:t xml:space="preserve"> </w:t>
      </w:r>
      <w:r>
        <w:rPr>
          <w:rFonts w:hint="eastAsia"/>
          <w:sz w:val="20"/>
        </w:rPr>
        <w:t>and</w:t>
      </w:r>
      <w:r>
        <w:rPr>
          <w:sz w:val="20"/>
        </w:rPr>
        <w:t xml:space="preserve"> proposals:</w:t>
      </w:r>
    </w:p>
    <w:p w14:paraId="0E7E76CB" w14:textId="6080B869" w:rsidR="006111B6" w:rsidRDefault="006E7348" w:rsidP="00B63C77">
      <w:pPr>
        <w:spacing w:before="120"/>
        <w:rPr>
          <w:b/>
          <w:bCs/>
          <w:i/>
          <w:iCs/>
          <w:sz w:val="20"/>
          <w:u w:val="single"/>
        </w:rPr>
      </w:pPr>
      <w:bookmarkStart w:id="12" w:name="_Toc502437832"/>
      <w:r>
        <w:rPr>
          <w:b/>
          <w:bCs/>
          <w:i/>
          <w:iCs/>
          <w:sz w:val="20"/>
          <w:u w:val="single"/>
        </w:rPr>
        <w:t>2.1</w:t>
      </w:r>
      <w:r>
        <w:rPr>
          <w:b/>
          <w:bCs/>
          <w:i/>
          <w:iCs/>
          <w:sz w:val="20"/>
          <w:u w:val="single"/>
        </w:rPr>
        <w:tab/>
        <w:t>Security issues for MCG LTM</w:t>
      </w:r>
    </w:p>
    <w:p w14:paraId="6C2A5D93" w14:textId="77777777" w:rsidR="00B63C77" w:rsidRDefault="00B63C77" w:rsidP="00B63C77">
      <w:pPr>
        <w:spacing w:before="120"/>
        <w:rPr>
          <w:b/>
          <w:bCs/>
          <w:sz w:val="20"/>
        </w:rPr>
      </w:pPr>
      <w:r>
        <w:rPr>
          <w:rFonts w:hint="eastAsia"/>
          <w:b/>
          <w:bCs/>
          <w:sz w:val="20"/>
        </w:rPr>
        <w:t>P</w:t>
      </w:r>
      <w:r>
        <w:rPr>
          <w:b/>
          <w:bCs/>
          <w:sz w:val="20"/>
        </w:rPr>
        <w:t>roposal 1: RAN2 confirms the NCC value to be used at inter-CU LTM execution is included in the LTM cell switch command MAC CE.</w:t>
      </w:r>
    </w:p>
    <w:p w14:paraId="0E7DF9F8" w14:textId="73A78949" w:rsidR="006E7348" w:rsidRDefault="00B63C77" w:rsidP="00B63C77">
      <w:pPr>
        <w:spacing w:before="120"/>
        <w:rPr>
          <w:b/>
          <w:bCs/>
          <w:sz w:val="20"/>
        </w:rPr>
      </w:pPr>
      <w:r w:rsidRPr="00B63C77">
        <w:rPr>
          <w:b/>
          <w:bCs/>
          <w:sz w:val="20"/>
        </w:rPr>
        <w:t>Proposal 2: Introduce a new MAC CE (Enhanced LTM Cell Switch Command MAC CE) including NCC value for inter-CU MCG LTM.</w:t>
      </w:r>
    </w:p>
    <w:p w14:paraId="7FDF7597" w14:textId="76AD5C20" w:rsidR="006E7348" w:rsidRDefault="00B63C77" w:rsidP="00B63C77">
      <w:pPr>
        <w:spacing w:before="120"/>
        <w:rPr>
          <w:b/>
          <w:bCs/>
          <w:sz w:val="20"/>
        </w:rPr>
      </w:pPr>
      <w:r w:rsidRPr="00B63C77">
        <w:rPr>
          <w:b/>
          <w:bCs/>
          <w:sz w:val="20"/>
        </w:rPr>
        <w:t>Observation 1: It is not needed to revisit the previous agreements and Rel-19 ID in RRC is used to indicate whether to update the security key.</w:t>
      </w:r>
    </w:p>
    <w:p w14:paraId="0F342D83" w14:textId="77777777" w:rsidR="00B63C77" w:rsidRPr="00B63C77" w:rsidRDefault="00B63C77" w:rsidP="00B63C77">
      <w:pPr>
        <w:spacing w:before="120"/>
        <w:rPr>
          <w:b/>
          <w:bCs/>
          <w:sz w:val="20"/>
        </w:rPr>
      </w:pPr>
      <w:r w:rsidRPr="00B63C77">
        <w:rPr>
          <w:b/>
          <w:bCs/>
          <w:sz w:val="20"/>
        </w:rPr>
        <w:t xml:space="preserve">Proposal 3: For MCG LTM, the network shall ensure the LTM CSC always aligns with the Rel-19 ID </w:t>
      </w:r>
      <w:r w:rsidRPr="00B63C77">
        <w:rPr>
          <w:rFonts w:hint="eastAsia"/>
          <w:b/>
          <w:bCs/>
          <w:sz w:val="20"/>
        </w:rPr>
        <w:t>in</w:t>
      </w:r>
      <w:r w:rsidRPr="00B63C77">
        <w:rPr>
          <w:b/>
          <w:bCs/>
          <w:sz w:val="20"/>
        </w:rPr>
        <w:t xml:space="preserve"> </w:t>
      </w:r>
      <w:r w:rsidRPr="00B63C77">
        <w:rPr>
          <w:rFonts w:hint="eastAsia"/>
          <w:b/>
          <w:bCs/>
          <w:sz w:val="20"/>
        </w:rPr>
        <w:t>RRC:</w:t>
      </w:r>
    </w:p>
    <w:p w14:paraId="5FC2A1C7" w14:textId="77777777" w:rsidR="00B63C77" w:rsidRPr="00B63C77" w:rsidRDefault="00B63C77" w:rsidP="00B63C77">
      <w:pPr>
        <w:numPr>
          <w:ilvl w:val="0"/>
          <w:numId w:val="8"/>
        </w:numPr>
        <w:overflowPunct/>
        <w:autoSpaceDE/>
        <w:autoSpaceDN/>
        <w:adjustRightInd/>
        <w:spacing w:before="120" w:after="0" w:line="240" w:lineRule="auto"/>
        <w:jc w:val="left"/>
        <w:textAlignment w:val="auto"/>
        <w:rPr>
          <w:rFonts w:eastAsia="MS Gothic"/>
          <w:b/>
          <w:bCs/>
          <w:sz w:val="20"/>
          <w:szCs w:val="24"/>
          <w:lang w:eastAsia="en-US"/>
        </w:rPr>
      </w:pPr>
      <w:r w:rsidRPr="00B63C77">
        <w:rPr>
          <w:rFonts w:eastAsia="MS Gothic"/>
          <w:b/>
          <w:bCs/>
          <w:sz w:val="20"/>
          <w:szCs w:val="24"/>
          <w:lang w:eastAsia="en-US"/>
        </w:rPr>
        <w:t>i.e., if the Rel-19 ID is different for the source cell and the target cell, the network shall send the LTM CSC with NCC to UE; otherwise, the network shall send the LTM CSC without NCC to UE.</w:t>
      </w:r>
    </w:p>
    <w:p w14:paraId="452F6F7B" w14:textId="77777777" w:rsidR="006E7348" w:rsidRDefault="006E7348" w:rsidP="00B63C77">
      <w:pPr>
        <w:spacing w:before="120"/>
        <w:rPr>
          <w:rFonts w:hint="eastAsia"/>
          <w:b/>
          <w:bCs/>
          <w:i/>
          <w:iCs/>
          <w:sz w:val="20"/>
          <w:u w:val="single"/>
        </w:rPr>
      </w:pPr>
    </w:p>
    <w:p w14:paraId="607241C4" w14:textId="76351C8B" w:rsidR="006111B6" w:rsidRDefault="006E7348" w:rsidP="00B63C77">
      <w:pPr>
        <w:spacing w:before="120"/>
        <w:rPr>
          <w:b/>
          <w:bCs/>
          <w:i/>
          <w:sz w:val="20"/>
          <w:u w:val="single"/>
        </w:rPr>
      </w:pPr>
      <w:r>
        <w:rPr>
          <w:b/>
          <w:bCs/>
          <w:i/>
          <w:sz w:val="20"/>
          <w:u w:val="single"/>
        </w:rPr>
        <w:t>2.2 LTM based failure recovery</w:t>
      </w:r>
    </w:p>
    <w:p w14:paraId="0331E96A" w14:textId="77777777" w:rsidR="00B63C77" w:rsidRDefault="00B63C77" w:rsidP="00B63C77">
      <w:pPr>
        <w:spacing w:before="40" w:after="0" w:line="240" w:lineRule="auto"/>
        <w:jc w:val="center"/>
        <w:rPr>
          <w:iCs/>
          <w:sz w:val="21"/>
          <w:szCs w:val="21"/>
          <w:lang w:val="en-US"/>
        </w:rPr>
      </w:pPr>
      <w:r>
        <w:rPr>
          <w:iCs/>
          <w:sz w:val="21"/>
          <w:szCs w:val="21"/>
          <w:lang w:val="en-US"/>
        </w:rPr>
        <w:t xml:space="preserve">Table 1: Rel-19 LTM </w:t>
      </w:r>
      <w:r>
        <w:rPr>
          <w:rFonts w:hint="eastAsia"/>
          <w:iCs/>
          <w:sz w:val="21"/>
          <w:szCs w:val="21"/>
          <w:lang w:val="en-US"/>
        </w:rPr>
        <w:t>based</w:t>
      </w:r>
      <w:r>
        <w:rPr>
          <w:iCs/>
          <w:sz w:val="21"/>
          <w:szCs w:val="21"/>
          <w:lang w:val="en-US"/>
        </w:rPr>
        <w:t xml:space="preserve"> failure recovery cases</w:t>
      </w:r>
    </w:p>
    <w:tbl>
      <w:tblPr>
        <w:tblStyle w:val="TableGrid2"/>
        <w:tblW w:w="9629" w:type="dxa"/>
        <w:tblLayout w:type="fixed"/>
        <w:tblLook w:val="04A0" w:firstRow="1" w:lastRow="0" w:firstColumn="1" w:lastColumn="0" w:noHBand="0" w:noVBand="1"/>
      </w:tblPr>
      <w:tblGrid>
        <w:gridCol w:w="2465"/>
        <w:gridCol w:w="1925"/>
        <w:gridCol w:w="2855"/>
        <w:gridCol w:w="2384"/>
      </w:tblGrid>
      <w:tr w:rsidR="00B63C77" w14:paraId="7E1CE032" w14:textId="77777777" w:rsidTr="00382A33">
        <w:tc>
          <w:tcPr>
            <w:tcW w:w="2465" w:type="dxa"/>
            <w:tcBorders>
              <w:tl2br w:val="single" w:sz="4" w:space="0" w:color="auto"/>
            </w:tcBorders>
          </w:tcPr>
          <w:p w14:paraId="2CD449F9" w14:textId="77777777" w:rsidR="00B63C77" w:rsidRDefault="00B63C77" w:rsidP="00382A33">
            <w:pPr>
              <w:spacing w:before="40" w:after="0" w:line="240" w:lineRule="auto"/>
              <w:ind w:firstLineChars="450" w:firstLine="945"/>
              <w:jc w:val="left"/>
              <w:rPr>
                <w:iCs/>
                <w:sz w:val="21"/>
                <w:szCs w:val="21"/>
                <w:lang w:val="en-US"/>
              </w:rPr>
            </w:pPr>
            <w:r>
              <w:rPr>
                <w:iCs/>
                <w:sz w:val="21"/>
                <w:szCs w:val="21"/>
                <w:lang w:val="en-US"/>
              </w:rPr>
              <w:t xml:space="preserve">Failure type: </w:t>
            </w:r>
          </w:p>
          <w:p w14:paraId="67268D5B" w14:textId="77777777" w:rsidR="00B63C77" w:rsidRDefault="00B63C77" w:rsidP="00382A33">
            <w:pPr>
              <w:spacing w:before="40" w:after="0" w:line="240" w:lineRule="auto"/>
              <w:jc w:val="left"/>
              <w:rPr>
                <w:iCs/>
                <w:sz w:val="21"/>
                <w:szCs w:val="21"/>
                <w:lang w:val="en-US"/>
              </w:rPr>
            </w:pPr>
            <w:r>
              <w:rPr>
                <w:iCs/>
                <w:sz w:val="21"/>
                <w:szCs w:val="21"/>
                <w:lang w:val="en-US"/>
              </w:rPr>
              <w:t xml:space="preserve">Selected cell </w:t>
            </w:r>
          </w:p>
          <w:p w14:paraId="4D09B9DE" w14:textId="77777777" w:rsidR="00B63C77" w:rsidRDefault="00B63C77" w:rsidP="00382A33">
            <w:pPr>
              <w:spacing w:before="40" w:after="0" w:line="240" w:lineRule="auto"/>
              <w:jc w:val="left"/>
              <w:rPr>
                <w:iCs/>
                <w:sz w:val="21"/>
                <w:szCs w:val="21"/>
                <w:lang w:val="en-US"/>
              </w:rPr>
            </w:pPr>
            <w:r>
              <w:rPr>
                <w:iCs/>
                <w:sz w:val="21"/>
                <w:szCs w:val="21"/>
                <w:lang w:val="en-US"/>
              </w:rPr>
              <w:t>for recovery:</w:t>
            </w:r>
          </w:p>
        </w:tc>
        <w:tc>
          <w:tcPr>
            <w:tcW w:w="1925" w:type="dxa"/>
          </w:tcPr>
          <w:p w14:paraId="092C6360" w14:textId="77777777" w:rsidR="00B63C77" w:rsidRDefault="00B63C77" w:rsidP="00382A33">
            <w:pPr>
              <w:spacing w:before="40" w:after="0" w:line="240" w:lineRule="auto"/>
              <w:jc w:val="left"/>
              <w:rPr>
                <w:iCs/>
                <w:sz w:val="21"/>
                <w:szCs w:val="21"/>
                <w:lang w:val="en-US"/>
              </w:rPr>
            </w:pPr>
            <w:r>
              <w:rPr>
                <w:rFonts w:hint="eastAsia"/>
                <w:iCs/>
                <w:sz w:val="21"/>
                <w:szCs w:val="21"/>
                <w:lang w:val="en-US"/>
              </w:rPr>
              <w:t>R</w:t>
            </w:r>
            <w:r>
              <w:rPr>
                <w:iCs/>
                <w:sz w:val="21"/>
                <w:szCs w:val="21"/>
                <w:lang w:val="en-US"/>
              </w:rPr>
              <w:t>LF</w:t>
            </w:r>
          </w:p>
          <w:p w14:paraId="06ED18AB" w14:textId="77777777" w:rsidR="00B63C77" w:rsidRDefault="00B63C77" w:rsidP="00382A33">
            <w:pPr>
              <w:spacing w:before="40" w:after="0" w:line="240" w:lineRule="auto"/>
              <w:jc w:val="left"/>
              <w:rPr>
                <w:iCs/>
                <w:sz w:val="21"/>
                <w:szCs w:val="21"/>
                <w:lang w:val="en-US"/>
              </w:rPr>
            </w:pPr>
            <w:r>
              <w:rPr>
                <w:iCs/>
                <w:sz w:val="21"/>
                <w:szCs w:val="21"/>
                <w:lang w:val="en-US"/>
              </w:rPr>
              <w:t>(</w:t>
            </w:r>
            <w:proofErr w:type="gramStart"/>
            <w:r>
              <w:rPr>
                <w:iCs/>
                <w:sz w:val="21"/>
                <w:szCs w:val="21"/>
                <w:lang w:val="en-US"/>
              </w:rPr>
              <w:t>serving</w:t>
            </w:r>
            <w:proofErr w:type="gramEnd"/>
            <w:r>
              <w:rPr>
                <w:iCs/>
                <w:sz w:val="21"/>
                <w:szCs w:val="21"/>
                <w:lang w:val="en-US"/>
              </w:rPr>
              <w:t xml:space="preserve"> cell CU1 Cell)</w:t>
            </w:r>
          </w:p>
        </w:tc>
        <w:tc>
          <w:tcPr>
            <w:tcW w:w="2855" w:type="dxa"/>
          </w:tcPr>
          <w:p w14:paraId="50D813D7" w14:textId="77777777" w:rsidR="00B63C77" w:rsidRDefault="00B63C77" w:rsidP="00382A33">
            <w:pPr>
              <w:spacing w:before="40" w:after="0" w:line="240" w:lineRule="auto"/>
              <w:jc w:val="left"/>
              <w:rPr>
                <w:iCs/>
                <w:sz w:val="21"/>
                <w:szCs w:val="21"/>
                <w:lang w:val="en-US"/>
              </w:rPr>
            </w:pPr>
            <w:r>
              <w:rPr>
                <w:iCs/>
                <w:sz w:val="21"/>
                <w:szCs w:val="21"/>
                <w:lang w:val="en-US"/>
              </w:rPr>
              <w:t>Intra-CU LTM failure</w:t>
            </w:r>
          </w:p>
          <w:p w14:paraId="0C7DF008" w14:textId="77777777" w:rsidR="00B63C77" w:rsidRDefault="00B63C77" w:rsidP="00382A33">
            <w:pPr>
              <w:spacing w:before="40" w:after="0" w:line="240" w:lineRule="auto"/>
              <w:jc w:val="left"/>
              <w:rPr>
                <w:iCs/>
                <w:sz w:val="21"/>
                <w:szCs w:val="21"/>
                <w:lang w:val="en-US"/>
              </w:rPr>
            </w:pPr>
            <w:r>
              <w:rPr>
                <w:rFonts w:hint="eastAsia"/>
                <w:iCs/>
                <w:sz w:val="21"/>
                <w:szCs w:val="21"/>
                <w:lang w:val="en-US"/>
              </w:rPr>
              <w:t>(</w:t>
            </w:r>
            <w:proofErr w:type="gramStart"/>
            <w:r>
              <w:rPr>
                <w:iCs/>
                <w:sz w:val="21"/>
                <w:szCs w:val="21"/>
                <w:lang w:val="en-US"/>
              </w:rPr>
              <w:t>source</w:t>
            </w:r>
            <w:proofErr w:type="gramEnd"/>
            <w:r>
              <w:rPr>
                <w:iCs/>
                <w:sz w:val="21"/>
                <w:szCs w:val="21"/>
                <w:lang w:val="en-US"/>
              </w:rPr>
              <w:t xml:space="preserve"> CU1 cell -&gt;target CU1 cell*)</w:t>
            </w:r>
          </w:p>
        </w:tc>
        <w:tc>
          <w:tcPr>
            <w:tcW w:w="2384" w:type="dxa"/>
          </w:tcPr>
          <w:p w14:paraId="566E1CFA" w14:textId="77777777" w:rsidR="00B63C77" w:rsidRDefault="00B63C77" w:rsidP="00382A33">
            <w:pPr>
              <w:spacing w:before="40" w:after="0" w:line="240" w:lineRule="auto"/>
              <w:jc w:val="left"/>
              <w:rPr>
                <w:iCs/>
                <w:sz w:val="21"/>
                <w:szCs w:val="21"/>
                <w:lang w:val="en-US"/>
              </w:rPr>
            </w:pPr>
            <w:r>
              <w:rPr>
                <w:iCs/>
                <w:sz w:val="21"/>
                <w:szCs w:val="21"/>
                <w:lang w:val="en-US"/>
              </w:rPr>
              <w:t>Inter-CU LTM failure</w:t>
            </w:r>
          </w:p>
          <w:p w14:paraId="595A73E4" w14:textId="77777777" w:rsidR="00B63C77" w:rsidRDefault="00B63C77" w:rsidP="00382A33">
            <w:pPr>
              <w:spacing w:before="40" w:after="0" w:line="240" w:lineRule="auto"/>
              <w:jc w:val="left"/>
              <w:rPr>
                <w:iCs/>
                <w:sz w:val="21"/>
                <w:szCs w:val="21"/>
                <w:lang w:val="en-US"/>
              </w:rPr>
            </w:pPr>
            <w:r>
              <w:rPr>
                <w:iCs/>
                <w:sz w:val="21"/>
                <w:szCs w:val="21"/>
                <w:lang w:val="en-US"/>
              </w:rPr>
              <w:t>(</w:t>
            </w:r>
            <w:proofErr w:type="gramStart"/>
            <w:r>
              <w:rPr>
                <w:iCs/>
                <w:sz w:val="21"/>
                <w:szCs w:val="21"/>
                <w:lang w:val="en-US"/>
              </w:rPr>
              <w:t>source</w:t>
            </w:r>
            <w:proofErr w:type="gramEnd"/>
            <w:r>
              <w:rPr>
                <w:iCs/>
                <w:sz w:val="21"/>
                <w:szCs w:val="21"/>
                <w:lang w:val="en-US"/>
              </w:rPr>
              <w:t xml:space="preserve"> CU1 cell 0-&gt;target CU2 cell*)</w:t>
            </w:r>
          </w:p>
        </w:tc>
      </w:tr>
      <w:tr w:rsidR="00B63C77" w14:paraId="0EB75A0D" w14:textId="77777777" w:rsidTr="00382A33">
        <w:tc>
          <w:tcPr>
            <w:tcW w:w="2465" w:type="dxa"/>
          </w:tcPr>
          <w:p w14:paraId="34D1CD5C" w14:textId="77777777" w:rsidR="00B63C77" w:rsidRDefault="00B63C77" w:rsidP="00382A33">
            <w:pPr>
              <w:spacing w:before="40" w:after="0" w:line="240" w:lineRule="auto"/>
              <w:jc w:val="left"/>
            </w:pPr>
            <w:r>
              <w:rPr>
                <w:iCs/>
                <w:sz w:val="21"/>
                <w:szCs w:val="21"/>
                <w:lang w:val="en-US"/>
              </w:rPr>
              <w:t>Selected CU1 cell**</w:t>
            </w:r>
            <w:r>
              <w:t xml:space="preserve"> </w:t>
            </w:r>
          </w:p>
          <w:p w14:paraId="6FC00B2D" w14:textId="77777777" w:rsidR="00B63C77" w:rsidRDefault="00B63C77" w:rsidP="00382A33">
            <w:pPr>
              <w:spacing w:before="40" w:after="0" w:line="240" w:lineRule="auto"/>
              <w:jc w:val="left"/>
              <w:rPr>
                <w:iCs/>
                <w:sz w:val="21"/>
                <w:szCs w:val="21"/>
                <w:lang w:val="en-US"/>
              </w:rPr>
            </w:pPr>
            <w:r>
              <w:rPr>
                <w:sz w:val="16"/>
                <w:szCs w:val="13"/>
              </w:rPr>
              <w:t>(</w:t>
            </w:r>
            <w:proofErr w:type="gramStart"/>
            <w:r>
              <w:rPr>
                <w:iCs/>
                <w:sz w:val="15"/>
                <w:szCs w:val="15"/>
                <w:lang w:val="en-US"/>
              </w:rPr>
              <w:t>selects</w:t>
            </w:r>
            <w:proofErr w:type="gramEnd"/>
            <w:r>
              <w:rPr>
                <w:iCs/>
                <w:sz w:val="15"/>
                <w:szCs w:val="15"/>
                <w:lang w:val="en-US"/>
              </w:rPr>
              <w:t xml:space="preserve"> an </w:t>
            </w:r>
            <w:r>
              <w:rPr>
                <w:b/>
                <w:bCs/>
                <w:iCs/>
                <w:sz w:val="15"/>
                <w:szCs w:val="15"/>
                <w:lang w:val="en-US"/>
              </w:rPr>
              <w:t>intra-CU</w:t>
            </w:r>
            <w:r>
              <w:rPr>
                <w:iCs/>
                <w:sz w:val="15"/>
                <w:szCs w:val="15"/>
                <w:lang w:val="en-US"/>
              </w:rPr>
              <w:t xml:space="preserve"> candidate cell)</w:t>
            </w:r>
          </w:p>
        </w:tc>
        <w:tc>
          <w:tcPr>
            <w:tcW w:w="1925" w:type="dxa"/>
          </w:tcPr>
          <w:p w14:paraId="3579A580" w14:textId="77777777" w:rsidR="00B63C77" w:rsidRDefault="00B63C77" w:rsidP="00382A33">
            <w:pPr>
              <w:spacing w:before="40" w:after="0" w:line="240" w:lineRule="auto"/>
              <w:jc w:val="left"/>
              <w:rPr>
                <w:iCs/>
                <w:sz w:val="21"/>
                <w:szCs w:val="21"/>
                <w:lang w:val="en-US"/>
              </w:rPr>
            </w:pPr>
            <w:r>
              <w:rPr>
                <w:iCs/>
                <w:sz w:val="21"/>
                <w:szCs w:val="21"/>
                <w:lang w:val="en-US"/>
              </w:rPr>
              <w:t>Case 1</w:t>
            </w:r>
          </w:p>
        </w:tc>
        <w:tc>
          <w:tcPr>
            <w:tcW w:w="2855" w:type="dxa"/>
          </w:tcPr>
          <w:p w14:paraId="16CEE590" w14:textId="77777777" w:rsidR="00B63C77" w:rsidRDefault="00B63C77" w:rsidP="00382A33">
            <w:pPr>
              <w:spacing w:before="40" w:after="0" w:line="240" w:lineRule="auto"/>
              <w:jc w:val="left"/>
              <w:rPr>
                <w:iCs/>
                <w:sz w:val="21"/>
                <w:szCs w:val="21"/>
                <w:lang w:val="en-US"/>
              </w:rPr>
            </w:pPr>
            <w:r>
              <w:rPr>
                <w:iCs/>
                <w:sz w:val="21"/>
                <w:szCs w:val="21"/>
                <w:lang w:val="en-US"/>
              </w:rPr>
              <w:t xml:space="preserve">Case 2 </w:t>
            </w:r>
            <w:r>
              <w:rPr>
                <w:b/>
                <w:bCs/>
                <w:iCs/>
                <w:sz w:val="21"/>
                <w:szCs w:val="21"/>
                <w:lang w:val="en-US"/>
              </w:rPr>
              <w:t>(Already supported)</w:t>
            </w:r>
          </w:p>
        </w:tc>
        <w:tc>
          <w:tcPr>
            <w:tcW w:w="2384" w:type="dxa"/>
          </w:tcPr>
          <w:p w14:paraId="1A49726C" w14:textId="77777777" w:rsidR="00B63C77" w:rsidRDefault="00B63C77" w:rsidP="00382A33">
            <w:pPr>
              <w:spacing w:before="40" w:after="0" w:line="240" w:lineRule="auto"/>
              <w:jc w:val="left"/>
              <w:rPr>
                <w:iCs/>
                <w:sz w:val="21"/>
                <w:szCs w:val="21"/>
                <w:lang w:val="en-US"/>
              </w:rPr>
            </w:pPr>
            <w:r>
              <w:rPr>
                <w:rFonts w:hint="eastAsia"/>
                <w:iCs/>
                <w:sz w:val="21"/>
                <w:szCs w:val="21"/>
                <w:lang w:val="en-US"/>
              </w:rPr>
              <w:t>C</w:t>
            </w:r>
            <w:r>
              <w:rPr>
                <w:iCs/>
                <w:sz w:val="21"/>
                <w:szCs w:val="21"/>
                <w:lang w:val="en-US"/>
              </w:rPr>
              <w:t>ase 3</w:t>
            </w:r>
          </w:p>
        </w:tc>
      </w:tr>
      <w:tr w:rsidR="00B63C77" w14:paraId="01090185" w14:textId="77777777" w:rsidTr="00382A33">
        <w:tc>
          <w:tcPr>
            <w:tcW w:w="2465" w:type="dxa"/>
          </w:tcPr>
          <w:p w14:paraId="2B065CC5" w14:textId="77777777" w:rsidR="00B63C77" w:rsidRDefault="00B63C77" w:rsidP="00382A33">
            <w:pPr>
              <w:spacing w:before="40" w:after="0" w:line="240" w:lineRule="auto"/>
              <w:jc w:val="left"/>
              <w:rPr>
                <w:iCs/>
                <w:sz w:val="21"/>
                <w:szCs w:val="21"/>
                <w:lang w:val="en-US"/>
              </w:rPr>
            </w:pPr>
            <w:r>
              <w:rPr>
                <w:rFonts w:hint="eastAsia"/>
                <w:iCs/>
                <w:sz w:val="21"/>
                <w:szCs w:val="21"/>
                <w:lang w:val="en-US"/>
              </w:rPr>
              <w:t>S</w:t>
            </w:r>
            <w:r>
              <w:rPr>
                <w:iCs/>
                <w:sz w:val="21"/>
                <w:szCs w:val="21"/>
                <w:lang w:val="en-US"/>
              </w:rPr>
              <w:t>elected CU2 cell**</w:t>
            </w:r>
          </w:p>
          <w:p w14:paraId="2E21C650" w14:textId="77777777" w:rsidR="00B63C77" w:rsidRDefault="00B63C77" w:rsidP="00382A33">
            <w:pPr>
              <w:spacing w:before="40" w:after="0" w:line="240" w:lineRule="auto"/>
              <w:jc w:val="left"/>
              <w:rPr>
                <w:iCs/>
                <w:sz w:val="21"/>
                <w:szCs w:val="21"/>
                <w:lang w:val="en-US"/>
              </w:rPr>
            </w:pPr>
            <w:r>
              <w:rPr>
                <w:sz w:val="16"/>
                <w:szCs w:val="13"/>
              </w:rPr>
              <w:t>(</w:t>
            </w:r>
            <w:proofErr w:type="gramStart"/>
            <w:r>
              <w:rPr>
                <w:iCs/>
                <w:sz w:val="15"/>
                <w:szCs w:val="15"/>
                <w:lang w:val="en-US"/>
              </w:rPr>
              <w:t>selects</w:t>
            </w:r>
            <w:proofErr w:type="gramEnd"/>
            <w:r>
              <w:rPr>
                <w:iCs/>
                <w:sz w:val="15"/>
                <w:szCs w:val="15"/>
                <w:lang w:val="en-US"/>
              </w:rPr>
              <w:t xml:space="preserve"> an inter-CU candidate cell)</w:t>
            </w:r>
          </w:p>
        </w:tc>
        <w:tc>
          <w:tcPr>
            <w:tcW w:w="1925" w:type="dxa"/>
            <w:tcBorders>
              <w:tl2br w:val="single" w:sz="4" w:space="0" w:color="auto"/>
            </w:tcBorders>
          </w:tcPr>
          <w:p w14:paraId="60C1AF3F" w14:textId="77777777" w:rsidR="00B63C77" w:rsidRDefault="00B63C77" w:rsidP="00382A33">
            <w:pPr>
              <w:spacing w:before="40" w:after="0" w:line="240" w:lineRule="auto"/>
              <w:jc w:val="left"/>
              <w:rPr>
                <w:iCs/>
                <w:sz w:val="21"/>
                <w:szCs w:val="21"/>
                <w:lang w:val="en-US"/>
              </w:rPr>
            </w:pPr>
          </w:p>
        </w:tc>
        <w:tc>
          <w:tcPr>
            <w:tcW w:w="2855" w:type="dxa"/>
            <w:tcBorders>
              <w:tl2br w:val="single" w:sz="4" w:space="0" w:color="auto"/>
            </w:tcBorders>
          </w:tcPr>
          <w:p w14:paraId="016CE8F8" w14:textId="77777777" w:rsidR="00B63C77" w:rsidRDefault="00B63C77" w:rsidP="00382A33">
            <w:pPr>
              <w:spacing w:before="40" w:after="0" w:line="240" w:lineRule="auto"/>
              <w:jc w:val="left"/>
              <w:rPr>
                <w:iCs/>
                <w:sz w:val="21"/>
                <w:szCs w:val="21"/>
                <w:lang w:val="en-US"/>
              </w:rPr>
            </w:pPr>
          </w:p>
        </w:tc>
        <w:tc>
          <w:tcPr>
            <w:tcW w:w="2384" w:type="dxa"/>
          </w:tcPr>
          <w:p w14:paraId="4A3226D8" w14:textId="77777777" w:rsidR="00B63C77" w:rsidRDefault="00B63C77" w:rsidP="00382A33">
            <w:pPr>
              <w:spacing w:before="40" w:after="0" w:line="240" w:lineRule="auto"/>
              <w:jc w:val="left"/>
              <w:rPr>
                <w:iCs/>
                <w:sz w:val="21"/>
                <w:szCs w:val="21"/>
                <w:lang w:val="en-US"/>
              </w:rPr>
            </w:pPr>
            <w:r>
              <w:rPr>
                <w:rFonts w:hint="eastAsia"/>
                <w:iCs/>
                <w:sz w:val="21"/>
                <w:szCs w:val="21"/>
                <w:lang w:val="en-US"/>
              </w:rPr>
              <w:t>C</w:t>
            </w:r>
            <w:r>
              <w:rPr>
                <w:iCs/>
                <w:sz w:val="21"/>
                <w:szCs w:val="21"/>
                <w:lang w:val="en-US"/>
              </w:rPr>
              <w:t>ase 4</w:t>
            </w:r>
          </w:p>
        </w:tc>
      </w:tr>
      <w:tr w:rsidR="00B63C77" w14:paraId="4F55074D" w14:textId="77777777" w:rsidTr="00382A33">
        <w:tc>
          <w:tcPr>
            <w:tcW w:w="2465" w:type="dxa"/>
          </w:tcPr>
          <w:p w14:paraId="518BEA1C" w14:textId="77777777" w:rsidR="00B63C77" w:rsidRDefault="00B63C77" w:rsidP="00382A33">
            <w:pPr>
              <w:spacing w:before="40" w:after="0" w:line="240" w:lineRule="auto"/>
              <w:jc w:val="left"/>
              <w:rPr>
                <w:iCs/>
                <w:sz w:val="21"/>
                <w:szCs w:val="21"/>
                <w:lang w:val="en-US"/>
              </w:rPr>
            </w:pPr>
            <w:r>
              <w:rPr>
                <w:rFonts w:hint="eastAsia"/>
                <w:iCs/>
                <w:sz w:val="21"/>
                <w:szCs w:val="21"/>
                <w:lang w:val="en-US"/>
              </w:rPr>
              <w:t>S</w:t>
            </w:r>
            <w:r>
              <w:rPr>
                <w:iCs/>
                <w:sz w:val="21"/>
                <w:szCs w:val="21"/>
                <w:lang w:val="en-US"/>
              </w:rPr>
              <w:t>elected CU3 cell**</w:t>
            </w:r>
          </w:p>
          <w:p w14:paraId="7FA1271C" w14:textId="77777777" w:rsidR="00B63C77" w:rsidRDefault="00B63C77" w:rsidP="00382A33">
            <w:pPr>
              <w:spacing w:before="40" w:after="0" w:line="240" w:lineRule="auto"/>
              <w:jc w:val="left"/>
              <w:rPr>
                <w:iCs/>
                <w:sz w:val="15"/>
                <w:szCs w:val="15"/>
                <w:lang w:val="en-US"/>
              </w:rPr>
            </w:pPr>
            <w:r>
              <w:rPr>
                <w:sz w:val="16"/>
                <w:szCs w:val="13"/>
              </w:rPr>
              <w:t>(</w:t>
            </w:r>
            <w:proofErr w:type="gramStart"/>
            <w:r>
              <w:rPr>
                <w:iCs/>
                <w:sz w:val="15"/>
                <w:szCs w:val="15"/>
                <w:lang w:val="en-US"/>
              </w:rPr>
              <w:t>selects</w:t>
            </w:r>
            <w:proofErr w:type="gramEnd"/>
            <w:r>
              <w:rPr>
                <w:iCs/>
                <w:sz w:val="15"/>
                <w:szCs w:val="15"/>
                <w:lang w:val="en-US"/>
              </w:rPr>
              <w:t xml:space="preserve"> an inter-CU candidate cell)</w:t>
            </w:r>
          </w:p>
          <w:p w14:paraId="64665AE6" w14:textId="77777777" w:rsidR="00B63C77" w:rsidRPr="00E94D68" w:rsidRDefault="00B63C77" w:rsidP="00382A33">
            <w:pPr>
              <w:spacing w:before="40" w:after="0" w:line="240" w:lineRule="auto"/>
              <w:jc w:val="left"/>
              <w:rPr>
                <w:rFonts w:eastAsiaTheme="minorEastAsia"/>
                <w:iCs/>
                <w:sz w:val="21"/>
                <w:szCs w:val="21"/>
                <w:lang w:val="en-US" w:eastAsia="zh-CN"/>
              </w:rPr>
            </w:pPr>
            <w:r>
              <w:rPr>
                <w:rFonts w:eastAsiaTheme="minorEastAsia" w:hint="eastAsia"/>
                <w:iCs/>
                <w:sz w:val="15"/>
                <w:szCs w:val="15"/>
                <w:lang w:val="en-US"/>
              </w:rPr>
              <w:t>(</w:t>
            </w:r>
            <w:r>
              <w:rPr>
                <w:rFonts w:eastAsiaTheme="minorEastAsia"/>
                <w:iCs/>
                <w:sz w:val="15"/>
                <w:szCs w:val="15"/>
                <w:lang w:val="en-US"/>
              </w:rPr>
              <w:t xml:space="preserve">CU3: </w:t>
            </w:r>
            <w:r w:rsidRPr="00A74DD2">
              <w:rPr>
                <w:rFonts w:eastAsiaTheme="minorEastAsia"/>
                <w:iCs/>
                <w:sz w:val="15"/>
                <w:szCs w:val="15"/>
                <w:lang w:val="en-US"/>
              </w:rPr>
              <w:t>non-source/serving CU and non-target CU</w:t>
            </w:r>
            <w:r>
              <w:rPr>
                <w:rFonts w:eastAsiaTheme="minorEastAsia"/>
                <w:iCs/>
                <w:sz w:val="15"/>
                <w:szCs w:val="15"/>
                <w:lang w:val="en-US"/>
              </w:rPr>
              <w:t>)</w:t>
            </w:r>
          </w:p>
        </w:tc>
        <w:tc>
          <w:tcPr>
            <w:tcW w:w="1925" w:type="dxa"/>
          </w:tcPr>
          <w:p w14:paraId="45BA21F7" w14:textId="77777777" w:rsidR="00B63C77" w:rsidRDefault="00B63C77" w:rsidP="00382A33">
            <w:pPr>
              <w:spacing w:before="40" w:after="0" w:line="240" w:lineRule="auto"/>
              <w:jc w:val="left"/>
              <w:rPr>
                <w:rFonts w:eastAsiaTheme="minorEastAsia"/>
                <w:iCs/>
                <w:sz w:val="21"/>
                <w:szCs w:val="21"/>
                <w:lang w:val="en-US"/>
              </w:rPr>
            </w:pPr>
            <w:r>
              <w:rPr>
                <w:rFonts w:eastAsiaTheme="minorEastAsia"/>
                <w:iCs/>
                <w:sz w:val="21"/>
                <w:szCs w:val="21"/>
                <w:lang w:val="en-US"/>
              </w:rPr>
              <w:t>Case 5</w:t>
            </w:r>
          </w:p>
        </w:tc>
        <w:tc>
          <w:tcPr>
            <w:tcW w:w="2855" w:type="dxa"/>
          </w:tcPr>
          <w:p w14:paraId="10B5D69A" w14:textId="77777777" w:rsidR="00B63C77" w:rsidRDefault="00B63C77" w:rsidP="00382A33">
            <w:pPr>
              <w:spacing w:before="40" w:after="0" w:line="240" w:lineRule="auto"/>
              <w:jc w:val="left"/>
              <w:rPr>
                <w:iCs/>
                <w:sz w:val="21"/>
                <w:szCs w:val="21"/>
                <w:lang w:val="en-US"/>
              </w:rPr>
            </w:pPr>
            <w:r>
              <w:rPr>
                <w:rFonts w:hint="eastAsia"/>
                <w:iCs/>
                <w:sz w:val="21"/>
                <w:szCs w:val="21"/>
                <w:lang w:val="en-US"/>
              </w:rPr>
              <w:t>C</w:t>
            </w:r>
            <w:r>
              <w:rPr>
                <w:iCs/>
                <w:sz w:val="21"/>
                <w:szCs w:val="21"/>
                <w:lang w:val="en-US"/>
              </w:rPr>
              <w:t>ase 6</w:t>
            </w:r>
          </w:p>
        </w:tc>
        <w:tc>
          <w:tcPr>
            <w:tcW w:w="2384" w:type="dxa"/>
          </w:tcPr>
          <w:p w14:paraId="2AF68B91" w14:textId="77777777" w:rsidR="00B63C77" w:rsidRDefault="00B63C77" w:rsidP="00382A33">
            <w:pPr>
              <w:spacing w:before="40" w:after="0" w:line="240" w:lineRule="auto"/>
              <w:jc w:val="left"/>
              <w:rPr>
                <w:iCs/>
                <w:sz w:val="21"/>
                <w:szCs w:val="21"/>
                <w:lang w:val="en-US"/>
              </w:rPr>
            </w:pPr>
            <w:r>
              <w:rPr>
                <w:rFonts w:hint="eastAsia"/>
                <w:iCs/>
                <w:sz w:val="21"/>
                <w:szCs w:val="21"/>
                <w:lang w:val="en-US"/>
              </w:rPr>
              <w:t>C</w:t>
            </w:r>
            <w:r>
              <w:rPr>
                <w:iCs/>
                <w:sz w:val="21"/>
                <w:szCs w:val="21"/>
                <w:lang w:val="en-US"/>
              </w:rPr>
              <w:t>ase 7</w:t>
            </w:r>
          </w:p>
        </w:tc>
      </w:tr>
    </w:tbl>
    <w:p w14:paraId="4FF6AC98" w14:textId="77777777" w:rsidR="00B63C77" w:rsidRDefault="00B63C77" w:rsidP="006E7348">
      <w:pPr>
        <w:spacing w:before="40" w:after="0" w:line="240" w:lineRule="auto"/>
        <w:jc w:val="left"/>
        <w:rPr>
          <w:rFonts w:hint="eastAsia"/>
          <w:b/>
          <w:bCs/>
          <w:iCs/>
          <w:sz w:val="21"/>
          <w:szCs w:val="21"/>
          <w:lang w:val="en-US"/>
        </w:rPr>
      </w:pPr>
    </w:p>
    <w:p w14:paraId="4ED81DBF" w14:textId="77777777" w:rsidR="00B63C77" w:rsidRPr="00A94D69" w:rsidRDefault="00B63C77" w:rsidP="00B63C77">
      <w:pPr>
        <w:spacing w:before="120"/>
        <w:jc w:val="left"/>
        <w:rPr>
          <w:b/>
          <w:sz w:val="20"/>
        </w:rPr>
      </w:pPr>
      <w:r w:rsidRPr="00A94D69">
        <w:rPr>
          <w:b/>
          <w:sz w:val="20"/>
        </w:rPr>
        <w:t>Observation 2a: The Rel-18 handling on failure can be reused in Rel-19 for case 1.</w:t>
      </w:r>
    </w:p>
    <w:p w14:paraId="7C03C4E4" w14:textId="55CE9D14" w:rsidR="006E7348" w:rsidRDefault="00B63C77" w:rsidP="006E7348">
      <w:pPr>
        <w:spacing w:before="40" w:after="0" w:line="240" w:lineRule="auto"/>
        <w:jc w:val="left"/>
        <w:rPr>
          <w:b/>
          <w:sz w:val="20"/>
        </w:rPr>
      </w:pPr>
      <w:r w:rsidRPr="003F6173">
        <w:rPr>
          <w:b/>
          <w:sz w:val="20"/>
        </w:rPr>
        <w:t>Observation 2b: The Rel-18 handling on failure cannot be reused in Rel-19 for case 3. The PDCP state variables for SRB(s) need to continue from the status of source cell rather than the failed target cell for Case 3.</w:t>
      </w:r>
    </w:p>
    <w:p w14:paraId="14ACB52A" w14:textId="77777777" w:rsidR="00B63C77" w:rsidRPr="003F6173" w:rsidRDefault="00B63C77" w:rsidP="00B63C77">
      <w:pPr>
        <w:spacing w:before="120"/>
        <w:jc w:val="left"/>
        <w:rPr>
          <w:b/>
          <w:bCs/>
          <w:iCs/>
          <w:sz w:val="20"/>
          <w:lang w:val="en-US"/>
        </w:rPr>
      </w:pPr>
      <w:r w:rsidRPr="003F6173">
        <w:rPr>
          <w:b/>
          <w:bCs/>
          <w:iCs/>
          <w:sz w:val="20"/>
          <w:lang w:val="en-US"/>
        </w:rPr>
        <w:t>Observation 2c:</w:t>
      </w:r>
      <w:r w:rsidRPr="003F6173">
        <w:rPr>
          <w:sz w:val="20"/>
        </w:rPr>
        <w:t xml:space="preserve"> </w:t>
      </w:r>
      <w:r w:rsidRPr="003F6173">
        <w:rPr>
          <w:b/>
          <w:bCs/>
          <w:iCs/>
          <w:sz w:val="20"/>
          <w:lang w:val="en-US"/>
        </w:rPr>
        <w:t>The Rel-18 handling on failure cannot be reused in Rel-19 for case 4. Extra enhancements are needed to support case 4, e.g., upon inter-CU LTM failure, the UE shall store the NCC value provided in LTM CSC and the UE shall compare the Rel-19 ID between the failed target cell and selected cell</w:t>
      </w:r>
      <w:r w:rsidRPr="003F6173">
        <w:rPr>
          <w:sz w:val="20"/>
        </w:rPr>
        <w:t xml:space="preserve"> </w:t>
      </w:r>
      <w:r w:rsidRPr="003F6173">
        <w:rPr>
          <w:b/>
          <w:bCs/>
          <w:iCs/>
          <w:sz w:val="20"/>
          <w:lang w:val="en-US"/>
        </w:rPr>
        <w:t>to determine the failed target cell and the selected cell are from the same CU.</w:t>
      </w:r>
    </w:p>
    <w:p w14:paraId="24C00782" w14:textId="77777777" w:rsidR="00B63C77" w:rsidRPr="003F6173" w:rsidRDefault="00B63C77" w:rsidP="00B63C77">
      <w:pPr>
        <w:spacing w:before="120"/>
        <w:jc w:val="left"/>
        <w:rPr>
          <w:b/>
          <w:bCs/>
          <w:iCs/>
          <w:sz w:val="20"/>
          <w:lang w:val="en-US"/>
        </w:rPr>
      </w:pPr>
      <w:r w:rsidRPr="003F6173">
        <w:rPr>
          <w:b/>
          <w:bCs/>
          <w:iCs/>
          <w:sz w:val="20"/>
          <w:lang w:val="en-US"/>
        </w:rPr>
        <w:t>Observation 2d: For case 5,6 and 7,</w:t>
      </w:r>
      <w:r w:rsidRPr="003F6173">
        <w:rPr>
          <w:sz w:val="20"/>
        </w:rPr>
        <w:t xml:space="preserve"> </w:t>
      </w:r>
      <w:r w:rsidRPr="003F6173">
        <w:rPr>
          <w:b/>
          <w:bCs/>
          <w:iCs/>
          <w:sz w:val="20"/>
          <w:lang w:val="en-US"/>
        </w:rPr>
        <w:t>the key update is needed, but the UE has no possibility to get NCC for the key update.</w:t>
      </w:r>
    </w:p>
    <w:p w14:paraId="4B3D30D8" w14:textId="77777777" w:rsidR="00B63C77" w:rsidRPr="003F6173" w:rsidRDefault="00B63C77" w:rsidP="00B63C77">
      <w:pPr>
        <w:spacing w:before="120"/>
        <w:rPr>
          <w:b/>
          <w:sz w:val="20"/>
        </w:rPr>
      </w:pPr>
      <w:r w:rsidRPr="003F6173">
        <w:rPr>
          <w:b/>
          <w:sz w:val="20"/>
        </w:rPr>
        <w:t>Proposal 4a: RAN2 supports the LTM based fast failure recovery for the following case in Rel-19:</w:t>
      </w:r>
    </w:p>
    <w:p w14:paraId="0587A324" w14:textId="77777777" w:rsidR="00B63C77" w:rsidRPr="003F6173" w:rsidRDefault="00B63C77" w:rsidP="00B63C77">
      <w:pPr>
        <w:pStyle w:val="af8"/>
        <w:numPr>
          <w:ilvl w:val="0"/>
          <w:numId w:val="9"/>
        </w:numPr>
        <w:spacing w:before="40" w:line="288" w:lineRule="auto"/>
        <w:ind w:firstLineChars="0"/>
        <w:rPr>
          <w:b/>
          <w:bCs/>
          <w:iCs/>
          <w:sz w:val="20"/>
          <w:szCs w:val="20"/>
          <w:lang w:val="en-US"/>
        </w:rPr>
      </w:pPr>
      <w:r w:rsidRPr="003F6173">
        <w:rPr>
          <w:b/>
          <w:bCs/>
          <w:iCs/>
          <w:sz w:val="20"/>
          <w:szCs w:val="20"/>
          <w:lang w:val="en-US"/>
        </w:rPr>
        <w:t>if the UE selects an intra-CU LTM candidate cell after RLF of the MCG (case 1).</w:t>
      </w:r>
    </w:p>
    <w:p w14:paraId="3F8A594B" w14:textId="77777777" w:rsidR="00B63C77" w:rsidRPr="003F6173" w:rsidRDefault="00B63C77" w:rsidP="00B63C77">
      <w:pPr>
        <w:spacing w:before="120"/>
        <w:rPr>
          <w:b/>
          <w:sz w:val="20"/>
        </w:rPr>
      </w:pPr>
      <w:r w:rsidRPr="003F6173">
        <w:rPr>
          <w:b/>
          <w:sz w:val="20"/>
        </w:rPr>
        <w:t>Proposal 4b: RAN2 can discuss whether to support the LTM based fast failure recovery for the following cases in Rel-19:</w:t>
      </w:r>
    </w:p>
    <w:p w14:paraId="39907B72" w14:textId="77777777" w:rsidR="00B63C77" w:rsidRPr="003F6173" w:rsidRDefault="00B63C77" w:rsidP="00B63C77">
      <w:pPr>
        <w:numPr>
          <w:ilvl w:val="0"/>
          <w:numId w:val="10"/>
        </w:numPr>
        <w:overflowPunct/>
        <w:autoSpaceDE/>
        <w:autoSpaceDN/>
        <w:adjustRightInd/>
        <w:spacing w:before="40" w:after="0"/>
        <w:jc w:val="left"/>
        <w:textAlignment w:val="auto"/>
        <w:rPr>
          <w:rFonts w:eastAsia="MS Gothic"/>
          <w:b/>
          <w:bCs/>
          <w:iCs/>
          <w:sz w:val="20"/>
          <w:lang w:val="en-US" w:eastAsia="en-US"/>
        </w:rPr>
      </w:pPr>
      <w:r w:rsidRPr="003F6173">
        <w:rPr>
          <w:b/>
          <w:bCs/>
          <w:iCs/>
          <w:sz w:val="20"/>
          <w:lang w:val="en-US"/>
        </w:rPr>
        <w:t xml:space="preserve">if </w:t>
      </w:r>
      <w:r w:rsidRPr="003F6173">
        <w:rPr>
          <w:rFonts w:eastAsia="MS Gothic"/>
          <w:b/>
          <w:bCs/>
          <w:iCs/>
          <w:sz w:val="20"/>
          <w:lang w:val="en-US" w:eastAsia="en-US"/>
        </w:rPr>
        <w:t>the UE selects an intra-CU LTM candidate cell, after inter-CU LTM failure (case 3)</w:t>
      </w:r>
    </w:p>
    <w:p w14:paraId="76DC9F26" w14:textId="77777777" w:rsidR="00B63C77" w:rsidRPr="003F6173" w:rsidRDefault="00B63C77" w:rsidP="00B63C77">
      <w:pPr>
        <w:numPr>
          <w:ilvl w:val="0"/>
          <w:numId w:val="10"/>
        </w:numPr>
        <w:overflowPunct/>
        <w:autoSpaceDE/>
        <w:autoSpaceDN/>
        <w:adjustRightInd/>
        <w:spacing w:after="0"/>
        <w:jc w:val="left"/>
        <w:textAlignment w:val="auto"/>
        <w:rPr>
          <w:rFonts w:eastAsia="MS Gothic"/>
          <w:b/>
          <w:bCs/>
          <w:iCs/>
          <w:sz w:val="20"/>
          <w:lang w:val="en-US" w:eastAsia="en-US"/>
        </w:rPr>
      </w:pPr>
      <w:r w:rsidRPr="003F6173">
        <w:rPr>
          <w:b/>
          <w:bCs/>
          <w:iCs/>
          <w:sz w:val="20"/>
          <w:lang w:val="en-US"/>
        </w:rPr>
        <w:t xml:space="preserve">if </w:t>
      </w:r>
      <w:r w:rsidRPr="003F6173">
        <w:rPr>
          <w:rFonts w:eastAsia="MS Gothic"/>
          <w:b/>
          <w:bCs/>
          <w:iCs/>
          <w:sz w:val="20"/>
          <w:lang w:val="en-US" w:eastAsia="en-US"/>
        </w:rPr>
        <w:t>the UE selects an inter-CU LTM candidate cell, after inter-CU LTM failure, where the failed cell and the selected cell are from the same CU (case 4)</w:t>
      </w:r>
    </w:p>
    <w:p w14:paraId="08D273BD" w14:textId="77777777" w:rsidR="00B63C77" w:rsidRPr="003F6173" w:rsidRDefault="00B63C77" w:rsidP="00B63C77">
      <w:pPr>
        <w:spacing w:before="120"/>
        <w:rPr>
          <w:b/>
          <w:sz w:val="20"/>
        </w:rPr>
      </w:pPr>
      <w:r w:rsidRPr="003F6173">
        <w:rPr>
          <w:b/>
          <w:sz w:val="20"/>
        </w:rPr>
        <w:t>Proposal 4c</w:t>
      </w:r>
      <w:r w:rsidRPr="003F6173">
        <w:rPr>
          <w:b/>
          <w:sz w:val="20"/>
        </w:rPr>
        <w:t>：</w:t>
      </w:r>
      <w:r w:rsidRPr="003F6173">
        <w:rPr>
          <w:b/>
          <w:sz w:val="20"/>
        </w:rPr>
        <w:t>The UE shall perform RRC re-establishment</w:t>
      </w:r>
      <w:r w:rsidRPr="003F6173" w:rsidDel="00F0524F">
        <w:rPr>
          <w:b/>
          <w:sz w:val="20"/>
        </w:rPr>
        <w:t xml:space="preserve"> </w:t>
      </w:r>
      <w:r w:rsidRPr="003F6173">
        <w:rPr>
          <w:b/>
          <w:sz w:val="20"/>
        </w:rPr>
        <w:t>for the following cases in Rel-19:</w:t>
      </w:r>
    </w:p>
    <w:p w14:paraId="0CAEC1C0" w14:textId="77777777" w:rsidR="00B63C77" w:rsidRPr="003F6173" w:rsidRDefault="00B63C77" w:rsidP="00B63C77">
      <w:pPr>
        <w:pStyle w:val="af8"/>
        <w:numPr>
          <w:ilvl w:val="0"/>
          <w:numId w:val="10"/>
        </w:numPr>
        <w:spacing w:before="40" w:line="288" w:lineRule="auto"/>
        <w:ind w:firstLineChars="0"/>
        <w:rPr>
          <w:b/>
          <w:bCs/>
          <w:iCs/>
          <w:sz w:val="20"/>
          <w:szCs w:val="20"/>
          <w:lang w:val="en-US"/>
        </w:rPr>
      </w:pPr>
      <w:r w:rsidRPr="003F6173">
        <w:rPr>
          <w:b/>
          <w:bCs/>
          <w:iCs/>
          <w:sz w:val="20"/>
          <w:szCs w:val="20"/>
          <w:lang w:val="en-US"/>
        </w:rPr>
        <w:t>if the UE selects an inter-CU LTM candidate cell, after RLF of the MCG (case 5)</w:t>
      </w:r>
    </w:p>
    <w:p w14:paraId="274B9D0C" w14:textId="77777777" w:rsidR="00B63C77" w:rsidRPr="003F6173" w:rsidRDefault="00B63C77" w:rsidP="00B63C77">
      <w:pPr>
        <w:pStyle w:val="af8"/>
        <w:numPr>
          <w:ilvl w:val="0"/>
          <w:numId w:val="10"/>
        </w:numPr>
        <w:spacing w:before="40" w:line="288" w:lineRule="auto"/>
        <w:ind w:firstLineChars="0"/>
        <w:rPr>
          <w:b/>
          <w:bCs/>
          <w:iCs/>
          <w:sz w:val="20"/>
          <w:szCs w:val="20"/>
          <w:lang w:val="en-US"/>
        </w:rPr>
      </w:pPr>
      <w:r w:rsidRPr="003F6173">
        <w:rPr>
          <w:b/>
          <w:bCs/>
          <w:iCs/>
          <w:sz w:val="20"/>
          <w:szCs w:val="20"/>
          <w:lang w:val="en-US"/>
        </w:rPr>
        <w:t>if the UE selects an inter-CU LTM candidate cell, after intra-CU LTM failure (case 6)</w:t>
      </w:r>
    </w:p>
    <w:p w14:paraId="1AD494FA" w14:textId="77777777" w:rsidR="00B63C77" w:rsidRPr="003F6173" w:rsidRDefault="00B63C77" w:rsidP="00B63C77">
      <w:pPr>
        <w:pStyle w:val="af8"/>
        <w:numPr>
          <w:ilvl w:val="0"/>
          <w:numId w:val="10"/>
        </w:numPr>
        <w:spacing w:line="288" w:lineRule="auto"/>
        <w:ind w:firstLineChars="0"/>
        <w:rPr>
          <w:b/>
          <w:bCs/>
          <w:iCs/>
          <w:sz w:val="20"/>
          <w:szCs w:val="20"/>
          <w:lang w:val="en-US"/>
        </w:rPr>
      </w:pPr>
      <w:r w:rsidRPr="003F6173">
        <w:rPr>
          <w:b/>
          <w:bCs/>
          <w:iCs/>
          <w:sz w:val="20"/>
          <w:szCs w:val="20"/>
          <w:lang w:val="en-US"/>
        </w:rPr>
        <w:t>if the UE selects an inter-CU LTM candidate cell, after inter-CU LTM failure, where the failed cell and the selected cell are from different CUs (case 7)</w:t>
      </w:r>
    </w:p>
    <w:p w14:paraId="141123D6" w14:textId="77777777" w:rsidR="00B63C77" w:rsidRPr="003F6173" w:rsidRDefault="00B63C77" w:rsidP="00B63C77">
      <w:pPr>
        <w:spacing w:before="120"/>
        <w:rPr>
          <w:b/>
          <w:sz w:val="20"/>
        </w:rPr>
      </w:pPr>
      <w:r w:rsidRPr="003F6173">
        <w:rPr>
          <w:b/>
          <w:sz w:val="20"/>
        </w:rPr>
        <w:t>Proposal 5: Rel-19 ID can be used to differentiate intra-CU and inter-CU case for LTM based fast failure recovery:</w:t>
      </w:r>
    </w:p>
    <w:p w14:paraId="709896F7" w14:textId="77777777" w:rsidR="00B63C77" w:rsidRPr="003F6173" w:rsidRDefault="00B63C77" w:rsidP="00B63C77">
      <w:pPr>
        <w:pStyle w:val="af8"/>
        <w:numPr>
          <w:ilvl w:val="0"/>
          <w:numId w:val="11"/>
        </w:numPr>
        <w:spacing w:before="120"/>
        <w:ind w:firstLineChars="0"/>
        <w:rPr>
          <w:b/>
          <w:sz w:val="20"/>
          <w:szCs w:val="20"/>
        </w:rPr>
      </w:pPr>
      <w:r w:rsidRPr="003F6173">
        <w:rPr>
          <w:b/>
          <w:sz w:val="20"/>
          <w:szCs w:val="20"/>
        </w:rPr>
        <w:t xml:space="preserve">(For Case 1) After detecting RLF of the MCG, if the Rel-19 set ID of the selected LTM cell is equal to the Rel-19 set ID of the serving cell, UE can perform cell switch for the selected cell for fast failure recovery. </w:t>
      </w:r>
    </w:p>
    <w:p w14:paraId="28E473D9" w14:textId="77777777" w:rsidR="00B63C77" w:rsidRPr="003F6173" w:rsidRDefault="00B63C77" w:rsidP="00B63C77">
      <w:pPr>
        <w:pStyle w:val="af8"/>
        <w:numPr>
          <w:ilvl w:val="0"/>
          <w:numId w:val="11"/>
        </w:numPr>
        <w:spacing w:before="120"/>
        <w:ind w:firstLineChars="0"/>
        <w:rPr>
          <w:b/>
          <w:sz w:val="20"/>
          <w:szCs w:val="20"/>
        </w:rPr>
      </w:pPr>
      <w:r w:rsidRPr="003F6173">
        <w:rPr>
          <w:b/>
          <w:sz w:val="20"/>
          <w:szCs w:val="20"/>
        </w:rPr>
        <w:t>(For Case 2) After detecting LTM failure, if the Rel-19 set ID of the selected LTM cell is equal to the Rel-19 set ID of the serving cell and the failed cell, UE can perform cell switch for the selected cell for fast failure recovery.</w:t>
      </w:r>
      <w:r w:rsidRPr="003F6173">
        <w:rPr>
          <w:sz w:val="20"/>
          <w:szCs w:val="20"/>
        </w:rPr>
        <w:t xml:space="preserve"> </w:t>
      </w:r>
    </w:p>
    <w:p w14:paraId="6E94F648" w14:textId="77777777" w:rsidR="006E7348" w:rsidRDefault="006E7348">
      <w:pPr>
        <w:spacing w:before="120"/>
        <w:rPr>
          <w:b/>
          <w:bCs/>
          <w:i/>
          <w:sz w:val="20"/>
          <w:u w:val="single"/>
        </w:rPr>
      </w:pPr>
    </w:p>
    <w:p w14:paraId="011F1DEE" w14:textId="12DCFB91" w:rsidR="006111B6" w:rsidRDefault="006E7348">
      <w:pPr>
        <w:spacing w:before="120"/>
        <w:rPr>
          <w:b/>
          <w:bCs/>
          <w:i/>
          <w:sz w:val="20"/>
          <w:u w:val="single"/>
        </w:rPr>
      </w:pPr>
      <w:r>
        <w:rPr>
          <w:b/>
          <w:bCs/>
          <w:i/>
          <w:sz w:val="20"/>
          <w:u w:val="single"/>
        </w:rPr>
        <w:t>2.3</w:t>
      </w:r>
      <w:r>
        <w:rPr>
          <w:b/>
          <w:bCs/>
          <w:i/>
          <w:sz w:val="20"/>
          <w:u w:val="single"/>
        </w:rPr>
        <w:tab/>
        <w:t>SCG LTM</w:t>
      </w:r>
    </w:p>
    <w:p w14:paraId="45CA20F4" w14:textId="77777777" w:rsidR="00B63C77" w:rsidRDefault="00B63C77" w:rsidP="00B63C77">
      <w:pPr>
        <w:spacing w:before="120"/>
        <w:rPr>
          <w:rFonts w:eastAsia="等线"/>
          <w:b/>
          <w:sz w:val="20"/>
        </w:rPr>
      </w:pPr>
      <w:r>
        <w:rPr>
          <w:rFonts w:eastAsia="等线"/>
          <w:b/>
          <w:sz w:val="20"/>
        </w:rPr>
        <w:lastRenderedPageBreak/>
        <w:t xml:space="preserve">Proposal 6: The mixture of intra-CU and inter-CU SCG LTM is configured to the UE only in MN </w:t>
      </w:r>
      <w:r>
        <w:rPr>
          <w:rFonts w:eastAsia="等线" w:hint="eastAsia"/>
          <w:b/>
          <w:sz w:val="20"/>
        </w:rPr>
        <w:t>RRC</w:t>
      </w:r>
      <w:r>
        <w:rPr>
          <w:rFonts w:eastAsia="等线"/>
          <w:b/>
          <w:sz w:val="20"/>
        </w:rPr>
        <w:t xml:space="preserve"> message (i.e., </w:t>
      </w:r>
      <w:r>
        <w:rPr>
          <w:rFonts w:eastAsia="等线"/>
          <w:b/>
          <w:i/>
          <w:iCs/>
          <w:sz w:val="20"/>
        </w:rPr>
        <w:t>LTM-ConfigNRDC-r19</w:t>
      </w:r>
      <w:r>
        <w:rPr>
          <w:rFonts w:eastAsia="等线"/>
          <w:b/>
          <w:sz w:val="20"/>
        </w:rPr>
        <w:t>)</w:t>
      </w:r>
      <w:r>
        <w:rPr>
          <w:rFonts w:eastAsia="等线" w:hint="eastAsia"/>
          <w:b/>
          <w:sz w:val="20"/>
        </w:rPr>
        <w:t>.</w:t>
      </w:r>
    </w:p>
    <w:p w14:paraId="68876E02" w14:textId="77777777" w:rsidR="00B63C77" w:rsidRDefault="00B63C77" w:rsidP="00B63C77">
      <w:pPr>
        <w:spacing w:before="120"/>
        <w:rPr>
          <w:rFonts w:eastAsia="等线"/>
          <w:b/>
          <w:sz w:val="20"/>
        </w:rPr>
      </w:pPr>
      <w:r>
        <w:rPr>
          <w:rFonts w:eastAsia="等线" w:hint="eastAsia"/>
          <w:b/>
          <w:sz w:val="20"/>
        </w:rPr>
        <w:t>Proposal</w:t>
      </w:r>
      <w:r>
        <w:rPr>
          <w:rFonts w:eastAsia="等线"/>
          <w:b/>
          <w:sz w:val="20"/>
        </w:rPr>
        <w:t xml:space="preserve"> 7: </w:t>
      </w:r>
      <w:r>
        <w:rPr>
          <w:rFonts w:eastAsia="等线" w:hint="eastAsia"/>
          <w:b/>
          <w:sz w:val="20"/>
        </w:rPr>
        <w:t>For</w:t>
      </w:r>
      <w:r>
        <w:rPr>
          <w:rFonts w:eastAsia="等线"/>
          <w:b/>
          <w:sz w:val="20"/>
        </w:rPr>
        <w:t xml:space="preserve"> </w:t>
      </w:r>
      <w:r>
        <w:rPr>
          <w:rFonts w:eastAsia="等线" w:hint="eastAsia"/>
          <w:b/>
          <w:sz w:val="20"/>
        </w:rPr>
        <w:t>inter</w:t>
      </w:r>
      <w:r>
        <w:rPr>
          <w:rFonts w:eastAsia="等线"/>
          <w:b/>
          <w:sz w:val="20"/>
        </w:rPr>
        <w:t>-</w:t>
      </w:r>
      <w:r>
        <w:rPr>
          <w:rFonts w:eastAsia="等线" w:hint="eastAsia"/>
          <w:b/>
          <w:sz w:val="20"/>
        </w:rPr>
        <w:t>SN</w:t>
      </w:r>
      <w:r>
        <w:rPr>
          <w:rFonts w:eastAsia="等线"/>
          <w:b/>
          <w:sz w:val="20"/>
        </w:rPr>
        <w:t xml:space="preserve"> </w:t>
      </w:r>
      <w:r>
        <w:rPr>
          <w:rFonts w:eastAsia="等线" w:hint="eastAsia"/>
          <w:b/>
          <w:sz w:val="20"/>
        </w:rPr>
        <w:t>SCG</w:t>
      </w:r>
      <w:r>
        <w:rPr>
          <w:rFonts w:eastAsia="等线"/>
          <w:b/>
          <w:sz w:val="20"/>
        </w:rPr>
        <w:t xml:space="preserve"> </w:t>
      </w:r>
      <w:r>
        <w:rPr>
          <w:rFonts w:eastAsia="等线" w:hint="eastAsia"/>
          <w:b/>
          <w:sz w:val="20"/>
        </w:rPr>
        <w:t>LTM</w:t>
      </w:r>
      <w:r>
        <w:rPr>
          <w:rFonts w:eastAsia="等线"/>
          <w:b/>
          <w:sz w:val="20"/>
        </w:rPr>
        <w:t>, RAN2 confirms only one indication is needed to indicate LTM configuration as complete configuration.</w:t>
      </w:r>
    </w:p>
    <w:p w14:paraId="0EE22D71" w14:textId="77777777" w:rsidR="006111B6" w:rsidRDefault="006E7348">
      <w:pPr>
        <w:pStyle w:val="1"/>
        <w:spacing w:before="180" w:line="240" w:lineRule="auto"/>
        <w:ind w:left="0" w:firstLine="0"/>
        <w:jc w:val="left"/>
      </w:pPr>
      <w:r>
        <w:t>Reference</w:t>
      </w:r>
    </w:p>
    <w:bookmarkEnd w:id="12"/>
    <w:p w14:paraId="15F5F593" w14:textId="77777777" w:rsidR="006111B6" w:rsidRDefault="006E7348">
      <w:pPr>
        <w:pStyle w:val="Doc-title"/>
        <w:rPr>
          <w:rFonts w:ascii="Times New Roman" w:hAnsi="Times New Roman"/>
          <w:szCs w:val="21"/>
        </w:rPr>
      </w:pPr>
      <w:r>
        <w:rPr>
          <w:rFonts w:ascii="Times New Roman" w:hAnsi="Times New Roman"/>
          <w:szCs w:val="21"/>
        </w:rPr>
        <w:t>[1] RP-242356, “Revised WID: NR mobility enhancements Phase 4”, Apple Inc, China Telecom</w:t>
      </w:r>
    </w:p>
    <w:p w14:paraId="17DAB600" w14:textId="77777777" w:rsidR="006111B6" w:rsidRDefault="006E7348">
      <w:pPr>
        <w:pStyle w:val="Doc-title"/>
        <w:rPr>
          <w:rFonts w:ascii="Times New Roman" w:hAnsi="Times New Roman"/>
          <w:szCs w:val="21"/>
        </w:rPr>
      </w:pPr>
      <w:r>
        <w:rPr>
          <w:rFonts w:ascii="Times New Roman" w:hAnsi="Times New Roman"/>
          <w:szCs w:val="21"/>
        </w:rPr>
        <w:t xml:space="preserve">[2] R2-2404037, “LS on security handling for inter-CU LTM in non-DC cases” </w:t>
      </w:r>
    </w:p>
    <w:p w14:paraId="3C84D290" w14:textId="77777777" w:rsidR="006111B6" w:rsidRDefault="006E7348">
      <w:pPr>
        <w:pStyle w:val="Doc-title"/>
        <w:ind w:left="0" w:firstLine="0"/>
        <w:rPr>
          <w:rFonts w:ascii="Times New Roman" w:hAnsi="Times New Roman"/>
          <w:szCs w:val="21"/>
        </w:rPr>
      </w:pPr>
      <w:r>
        <w:rPr>
          <w:rFonts w:ascii="Times New Roman" w:hAnsi="Times New Roman"/>
          <w:szCs w:val="21"/>
        </w:rPr>
        <w:t>[3] R2-2411136, “Reply LS on security handling for inter-CU LTM in non-DC cases”</w:t>
      </w:r>
    </w:p>
    <w:p w14:paraId="4E8EB51E" w14:textId="77777777" w:rsidR="006111B6" w:rsidRDefault="006E7348">
      <w:pPr>
        <w:pStyle w:val="Doc-title"/>
        <w:ind w:left="0" w:firstLine="0"/>
        <w:rPr>
          <w:rFonts w:ascii="Times New Roman" w:hAnsi="Times New Roman"/>
          <w:szCs w:val="21"/>
        </w:rPr>
      </w:pPr>
      <w:r>
        <w:rPr>
          <w:rFonts w:ascii="Times New Roman" w:hAnsi="Times New Roman"/>
          <w:szCs w:val="21"/>
        </w:rPr>
        <w:t xml:space="preserve">[4] S3-251124, </w:t>
      </w:r>
      <w:bookmarkStart w:id="13" w:name="_Hlk193712156"/>
      <w:r>
        <w:rPr>
          <w:rFonts w:ascii="Times New Roman" w:hAnsi="Times New Roman"/>
          <w:szCs w:val="21"/>
        </w:rPr>
        <w:t>“</w:t>
      </w:r>
      <w:bookmarkEnd w:id="13"/>
      <w:r>
        <w:rPr>
          <w:rFonts w:ascii="Times New Roman" w:hAnsi="Times New Roman"/>
          <w:szCs w:val="21"/>
        </w:rPr>
        <w:t>Reply LS on security handling for inter-CU LTM in non-DC cases”</w:t>
      </w:r>
    </w:p>
    <w:p w14:paraId="17CE9DDC" w14:textId="77777777" w:rsidR="006111B6" w:rsidRDefault="006111B6">
      <w:pPr>
        <w:spacing w:afterLines="50" w:line="240" w:lineRule="auto"/>
        <w:jc w:val="left"/>
        <w:rPr>
          <w:sz w:val="24"/>
        </w:rPr>
      </w:pPr>
    </w:p>
    <w:sectPr w:rsidR="006111B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870B6" w14:textId="77777777" w:rsidR="0032051D" w:rsidRDefault="0032051D" w:rsidP="005D48B5">
      <w:pPr>
        <w:spacing w:after="0" w:line="240" w:lineRule="auto"/>
      </w:pPr>
      <w:r>
        <w:separator/>
      </w:r>
    </w:p>
  </w:endnote>
  <w:endnote w:type="continuationSeparator" w:id="0">
    <w:p w14:paraId="3B20010D" w14:textId="77777777" w:rsidR="0032051D" w:rsidRDefault="0032051D" w:rsidP="005D4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00000287" w:usb1="08070000" w:usb2="08000012" w:usb3="00000000" w:csb0="0002009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00000003" w:usb1="09060000"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00000287" w:usb1="08070000"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3A832" w14:textId="77777777" w:rsidR="0032051D" w:rsidRDefault="0032051D" w:rsidP="005D48B5">
      <w:pPr>
        <w:spacing w:after="0" w:line="240" w:lineRule="auto"/>
      </w:pPr>
      <w:r>
        <w:separator/>
      </w:r>
    </w:p>
  </w:footnote>
  <w:footnote w:type="continuationSeparator" w:id="0">
    <w:p w14:paraId="7FB5FB52" w14:textId="77777777" w:rsidR="0032051D" w:rsidRDefault="0032051D" w:rsidP="005D48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53216F3"/>
    <w:multiLevelType w:val="multilevel"/>
    <w:tmpl w:val="25321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1781111"/>
    <w:multiLevelType w:val="multilevel"/>
    <w:tmpl w:val="317811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A3A4B97"/>
    <w:multiLevelType w:val="multilevel"/>
    <w:tmpl w:val="4A3A4B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3CC35BC"/>
    <w:multiLevelType w:val="multilevel"/>
    <w:tmpl w:val="73CC35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48B5C67"/>
    <w:multiLevelType w:val="multilevel"/>
    <w:tmpl w:val="748B5C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8"/>
  </w:num>
  <w:num w:numId="4">
    <w:abstractNumId w:val="2"/>
  </w:num>
  <w:num w:numId="5">
    <w:abstractNumId w:val="5"/>
  </w:num>
  <w:num w:numId="6">
    <w:abstractNumId w:val="1"/>
  </w:num>
  <w:num w:numId="7">
    <w:abstractNumId w:val="7"/>
  </w:num>
  <w:num w:numId="8">
    <w:abstractNumId w:val="9"/>
  </w:num>
  <w:num w:numId="9">
    <w:abstractNumId w:val="4"/>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AFBBF6A1"/>
    <w:rsid w:val="B9AF9DD3"/>
    <w:rsid w:val="E7BB0E6B"/>
    <w:rsid w:val="EED7E913"/>
    <w:rsid w:val="F8FEBEF9"/>
    <w:rsid w:val="FEF613BF"/>
    <w:rsid w:val="00000045"/>
    <w:rsid w:val="0000007C"/>
    <w:rsid w:val="000004A3"/>
    <w:rsid w:val="000006DB"/>
    <w:rsid w:val="00000AEF"/>
    <w:rsid w:val="00000D3C"/>
    <w:rsid w:val="00001018"/>
    <w:rsid w:val="000010E2"/>
    <w:rsid w:val="00001177"/>
    <w:rsid w:val="000011D7"/>
    <w:rsid w:val="00001248"/>
    <w:rsid w:val="00001254"/>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596"/>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799"/>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5"/>
    <w:rsid w:val="00020CD6"/>
    <w:rsid w:val="00020EEB"/>
    <w:rsid w:val="00021438"/>
    <w:rsid w:val="0002174B"/>
    <w:rsid w:val="00021EC9"/>
    <w:rsid w:val="000223B2"/>
    <w:rsid w:val="000225A3"/>
    <w:rsid w:val="000225F0"/>
    <w:rsid w:val="000226F5"/>
    <w:rsid w:val="000228C6"/>
    <w:rsid w:val="00022D57"/>
    <w:rsid w:val="0002321C"/>
    <w:rsid w:val="0002330B"/>
    <w:rsid w:val="00023408"/>
    <w:rsid w:val="000235DA"/>
    <w:rsid w:val="000239A0"/>
    <w:rsid w:val="00023B7D"/>
    <w:rsid w:val="00023BC4"/>
    <w:rsid w:val="00023DA2"/>
    <w:rsid w:val="00023EFE"/>
    <w:rsid w:val="00023FAD"/>
    <w:rsid w:val="0002406F"/>
    <w:rsid w:val="0002412C"/>
    <w:rsid w:val="00024A5B"/>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20F"/>
    <w:rsid w:val="000318F4"/>
    <w:rsid w:val="00032202"/>
    <w:rsid w:val="0003222E"/>
    <w:rsid w:val="00032336"/>
    <w:rsid w:val="000323B1"/>
    <w:rsid w:val="000328CD"/>
    <w:rsid w:val="00032E8A"/>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676"/>
    <w:rsid w:val="0004394D"/>
    <w:rsid w:val="00043CCF"/>
    <w:rsid w:val="0004432C"/>
    <w:rsid w:val="00044370"/>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0DA"/>
    <w:rsid w:val="000561E7"/>
    <w:rsid w:val="00056DB8"/>
    <w:rsid w:val="00056FF3"/>
    <w:rsid w:val="00057CF4"/>
    <w:rsid w:val="00057F40"/>
    <w:rsid w:val="0006047C"/>
    <w:rsid w:val="00060720"/>
    <w:rsid w:val="00060988"/>
    <w:rsid w:val="00060BF5"/>
    <w:rsid w:val="00060C34"/>
    <w:rsid w:val="00060C87"/>
    <w:rsid w:val="00060E84"/>
    <w:rsid w:val="00061338"/>
    <w:rsid w:val="000613A4"/>
    <w:rsid w:val="000616AB"/>
    <w:rsid w:val="00061D23"/>
    <w:rsid w:val="00061FED"/>
    <w:rsid w:val="000625DA"/>
    <w:rsid w:val="00062AF0"/>
    <w:rsid w:val="00062E2A"/>
    <w:rsid w:val="00062EF2"/>
    <w:rsid w:val="000632EE"/>
    <w:rsid w:val="00063621"/>
    <w:rsid w:val="00063779"/>
    <w:rsid w:val="0006394F"/>
    <w:rsid w:val="00063A9C"/>
    <w:rsid w:val="00063B83"/>
    <w:rsid w:val="00063BC9"/>
    <w:rsid w:val="00063DFB"/>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6F0"/>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D7E"/>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055"/>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08"/>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B7E58"/>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C7AB5"/>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59"/>
    <w:rsid w:val="000D38B3"/>
    <w:rsid w:val="000D38C2"/>
    <w:rsid w:val="000D3E18"/>
    <w:rsid w:val="000D3FB9"/>
    <w:rsid w:val="000D3FBE"/>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3B3"/>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2F91"/>
    <w:rsid w:val="000E378E"/>
    <w:rsid w:val="000E37B9"/>
    <w:rsid w:val="000E3DF2"/>
    <w:rsid w:val="000E3E32"/>
    <w:rsid w:val="000E3E39"/>
    <w:rsid w:val="000E3EF7"/>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102E6"/>
    <w:rsid w:val="00110419"/>
    <w:rsid w:val="00110A8E"/>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7E6"/>
    <w:rsid w:val="00121CBA"/>
    <w:rsid w:val="00121D44"/>
    <w:rsid w:val="00121F3B"/>
    <w:rsid w:val="00121FCA"/>
    <w:rsid w:val="001225FB"/>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5FA"/>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09B"/>
    <w:rsid w:val="00146923"/>
    <w:rsid w:val="00146C20"/>
    <w:rsid w:val="00146ED2"/>
    <w:rsid w:val="00146EF5"/>
    <w:rsid w:val="00146F6E"/>
    <w:rsid w:val="001473A7"/>
    <w:rsid w:val="001473DC"/>
    <w:rsid w:val="00147453"/>
    <w:rsid w:val="001478B4"/>
    <w:rsid w:val="00150098"/>
    <w:rsid w:val="0015026C"/>
    <w:rsid w:val="001503CE"/>
    <w:rsid w:val="001505F9"/>
    <w:rsid w:val="001507B0"/>
    <w:rsid w:val="0015088C"/>
    <w:rsid w:val="00150A53"/>
    <w:rsid w:val="001510F0"/>
    <w:rsid w:val="001513D6"/>
    <w:rsid w:val="001515B2"/>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C0D"/>
    <w:rsid w:val="00156FFC"/>
    <w:rsid w:val="001572D6"/>
    <w:rsid w:val="001572F9"/>
    <w:rsid w:val="001574F4"/>
    <w:rsid w:val="001578BF"/>
    <w:rsid w:val="00157E63"/>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7F7"/>
    <w:rsid w:val="00176942"/>
    <w:rsid w:val="00176A05"/>
    <w:rsid w:val="00176D56"/>
    <w:rsid w:val="00176DC8"/>
    <w:rsid w:val="00177019"/>
    <w:rsid w:val="00177138"/>
    <w:rsid w:val="00177157"/>
    <w:rsid w:val="00177286"/>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716"/>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6CB"/>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92"/>
    <w:rsid w:val="001927A6"/>
    <w:rsid w:val="00192E9D"/>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61E"/>
    <w:rsid w:val="001A4713"/>
    <w:rsid w:val="001A492F"/>
    <w:rsid w:val="001A4C4E"/>
    <w:rsid w:val="001A4E12"/>
    <w:rsid w:val="001A54CE"/>
    <w:rsid w:val="001A589C"/>
    <w:rsid w:val="001A58B1"/>
    <w:rsid w:val="001A5A8C"/>
    <w:rsid w:val="001A5EB9"/>
    <w:rsid w:val="001A5F17"/>
    <w:rsid w:val="001A6170"/>
    <w:rsid w:val="001A696F"/>
    <w:rsid w:val="001A6BCD"/>
    <w:rsid w:val="001A6E3E"/>
    <w:rsid w:val="001A7731"/>
    <w:rsid w:val="001A7AB2"/>
    <w:rsid w:val="001A7C55"/>
    <w:rsid w:val="001A7CC8"/>
    <w:rsid w:val="001A7E78"/>
    <w:rsid w:val="001B02B9"/>
    <w:rsid w:val="001B0383"/>
    <w:rsid w:val="001B07DD"/>
    <w:rsid w:val="001B0A81"/>
    <w:rsid w:val="001B0C11"/>
    <w:rsid w:val="001B0EB0"/>
    <w:rsid w:val="001B1CAD"/>
    <w:rsid w:val="001B1EF8"/>
    <w:rsid w:val="001B1FD1"/>
    <w:rsid w:val="001B27FB"/>
    <w:rsid w:val="001B2DB0"/>
    <w:rsid w:val="001B3233"/>
    <w:rsid w:val="001B3952"/>
    <w:rsid w:val="001B3B11"/>
    <w:rsid w:val="001B3D56"/>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B5F"/>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17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5DA9"/>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59D"/>
    <w:rsid w:val="001E27CE"/>
    <w:rsid w:val="001E2F41"/>
    <w:rsid w:val="001E3596"/>
    <w:rsid w:val="001E3DB7"/>
    <w:rsid w:val="001E4010"/>
    <w:rsid w:val="001E4112"/>
    <w:rsid w:val="001E4290"/>
    <w:rsid w:val="001E42F9"/>
    <w:rsid w:val="001E444F"/>
    <w:rsid w:val="001E4904"/>
    <w:rsid w:val="001E49C4"/>
    <w:rsid w:val="001E4D04"/>
    <w:rsid w:val="001E5466"/>
    <w:rsid w:val="001E594F"/>
    <w:rsid w:val="001E5BD2"/>
    <w:rsid w:val="001E5E4F"/>
    <w:rsid w:val="001E6B42"/>
    <w:rsid w:val="001E6C0B"/>
    <w:rsid w:val="001E6D97"/>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99D"/>
    <w:rsid w:val="001F2D22"/>
    <w:rsid w:val="001F2DBF"/>
    <w:rsid w:val="001F2EE6"/>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7D1"/>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31D"/>
    <w:rsid w:val="0021275D"/>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206"/>
    <w:rsid w:val="002176C1"/>
    <w:rsid w:val="0021774F"/>
    <w:rsid w:val="002177C8"/>
    <w:rsid w:val="002179DD"/>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709"/>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8E7"/>
    <w:rsid w:val="00235F80"/>
    <w:rsid w:val="002364FD"/>
    <w:rsid w:val="00236B24"/>
    <w:rsid w:val="00236D0E"/>
    <w:rsid w:val="00236E91"/>
    <w:rsid w:val="002371EA"/>
    <w:rsid w:val="00237942"/>
    <w:rsid w:val="00237AF3"/>
    <w:rsid w:val="002403A9"/>
    <w:rsid w:val="0024097C"/>
    <w:rsid w:val="00240FE3"/>
    <w:rsid w:val="002413B5"/>
    <w:rsid w:val="002415D1"/>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54"/>
    <w:rsid w:val="00243F01"/>
    <w:rsid w:val="002440DB"/>
    <w:rsid w:val="002440E5"/>
    <w:rsid w:val="00244291"/>
    <w:rsid w:val="00244650"/>
    <w:rsid w:val="00244689"/>
    <w:rsid w:val="002449F1"/>
    <w:rsid w:val="00244A5D"/>
    <w:rsid w:val="00244F0F"/>
    <w:rsid w:val="002451C9"/>
    <w:rsid w:val="002457F7"/>
    <w:rsid w:val="00245943"/>
    <w:rsid w:val="00245981"/>
    <w:rsid w:val="002461AE"/>
    <w:rsid w:val="0024714F"/>
    <w:rsid w:val="002478D4"/>
    <w:rsid w:val="002479A5"/>
    <w:rsid w:val="00250272"/>
    <w:rsid w:val="00250B2F"/>
    <w:rsid w:val="00250C0F"/>
    <w:rsid w:val="00250CA3"/>
    <w:rsid w:val="00250E04"/>
    <w:rsid w:val="00250F96"/>
    <w:rsid w:val="0025101E"/>
    <w:rsid w:val="00251219"/>
    <w:rsid w:val="00251D6A"/>
    <w:rsid w:val="00251F65"/>
    <w:rsid w:val="002520ED"/>
    <w:rsid w:val="0025231C"/>
    <w:rsid w:val="002523BC"/>
    <w:rsid w:val="002525A1"/>
    <w:rsid w:val="00252612"/>
    <w:rsid w:val="0025269C"/>
    <w:rsid w:val="002528C1"/>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5EDE"/>
    <w:rsid w:val="00256355"/>
    <w:rsid w:val="00256811"/>
    <w:rsid w:val="00256898"/>
    <w:rsid w:val="00256ADD"/>
    <w:rsid w:val="00257343"/>
    <w:rsid w:val="0025734B"/>
    <w:rsid w:val="002573D3"/>
    <w:rsid w:val="002576AE"/>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739"/>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1E5"/>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1BC5"/>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618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56"/>
    <w:rsid w:val="00291FBB"/>
    <w:rsid w:val="002920F3"/>
    <w:rsid w:val="002923A4"/>
    <w:rsid w:val="00292635"/>
    <w:rsid w:val="0029270A"/>
    <w:rsid w:val="00292A18"/>
    <w:rsid w:val="00292E26"/>
    <w:rsid w:val="0029324F"/>
    <w:rsid w:val="0029348F"/>
    <w:rsid w:val="0029355F"/>
    <w:rsid w:val="002936DA"/>
    <w:rsid w:val="00293863"/>
    <w:rsid w:val="002938B3"/>
    <w:rsid w:val="00293946"/>
    <w:rsid w:val="00293960"/>
    <w:rsid w:val="00293D6D"/>
    <w:rsid w:val="00293D77"/>
    <w:rsid w:val="00293E76"/>
    <w:rsid w:val="002947F9"/>
    <w:rsid w:val="002947FB"/>
    <w:rsid w:val="00294E54"/>
    <w:rsid w:val="0029558B"/>
    <w:rsid w:val="00295962"/>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56F"/>
    <w:rsid w:val="002A5898"/>
    <w:rsid w:val="002A5A9C"/>
    <w:rsid w:val="002A63C7"/>
    <w:rsid w:val="002A64A9"/>
    <w:rsid w:val="002A6566"/>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A5C"/>
    <w:rsid w:val="002B2B54"/>
    <w:rsid w:val="002B2E2C"/>
    <w:rsid w:val="002B2F91"/>
    <w:rsid w:val="002B3755"/>
    <w:rsid w:val="002B49DD"/>
    <w:rsid w:val="002B4ECB"/>
    <w:rsid w:val="002B5314"/>
    <w:rsid w:val="002B553D"/>
    <w:rsid w:val="002B56CE"/>
    <w:rsid w:val="002B5C51"/>
    <w:rsid w:val="002B5CCF"/>
    <w:rsid w:val="002B5DBF"/>
    <w:rsid w:val="002B5F80"/>
    <w:rsid w:val="002B6079"/>
    <w:rsid w:val="002B6114"/>
    <w:rsid w:val="002B6243"/>
    <w:rsid w:val="002B63F8"/>
    <w:rsid w:val="002B65B2"/>
    <w:rsid w:val="002B65D0"/>
    <w:rsid w:val="002B6772"/>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DCC"/>
    <w:rsid w:val="002C0F14"/>
    <w:rsid w:val="002C0F7B"/>
    <w:rsid w:val="002C10BA"/>
    <w:rsid w:val="002C12EA"/>
    <w:rsid w:val="002C17D4"/>
    <w:rsid w:val="002C18F1"/>
    <w:rsid w:val="002C1AAD"/>
    <w:rsid w:val="002C1EC2"/>
    <w:rsid w:val="002C205F"/>
    <w:rsid w:val="002C208F"/>
    <w:rsid w:val="002C2104"/>
    <w:rsid w:val="002C251D"/>
    <w:rsid w:val="002C2766"/>
    <w:rsid w:val="002C2D4B"/>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C77A5"/>
    <w:rsid w:val="002D00C0"/>
    <w:rsid w:val="002D01AB"/>
    <w:rsid w:val="002D0297"/>
    <w:rsid w:val="002D0347"/>
    <w:rsid w:val="002D060B"/>
    <w:rsid w:val="002D0789"/>
    <w:rsid w:val="002D0980"/>
    <w:rsid w:val="002D099D"/>
    <w:rsid w:val="002D0B7A"/>
    <w:rsid w:val="002D0F79"/>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5A38"/>
    <w:rsid w:val="002D62F9"/>
    <w:rsid w:val="002D632B"/>
    <w:rsid w:val="002D6667"/>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8C9"/>
    <w:rsid w:val="002F3A1F"/>
    <w:rsid w:val="002F3CB8"/>
    <w:rsid w:val="002F4378"/>
    <w:rsid w:val="002F462E"/>
    <w:rsid w:val="002F4B57"/>
    <w:rsid w:val="002F4B85"/>
    <w:rsid w:val="002F4D8A"/>
    <w:rsid w:val="002F5419"/>
    <w:rsid w:val="002F55AB"/>
    <w:rsid w:val="002F55C3"/>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6C9"/>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0BA"/>
    <w:rsid w:val="0031226D"/>
    <w:rsid w:val="00312AAE"/>
    <w:rsid w:val="00312E47"/>
    <w:rsid w:val="00312EC3"/>
    <w:rsid w:val="00313210"/>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0BB"/>
    <w:rsid w:val="00317CA7"/>
    <w:rsid w:val="00320443"/>
    <w:rsid w:val="0032051D"/>
    <w:rsid w:val="0032070D"/>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8F5"/>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45"/>
    <w:rsid w:val="00332FAB"/>
    <w:rsid w:val="00333126"/>
    <w:rsid w:val="003336FF"/>
    <w:rsid w:val="0033372A"/>
    <w:rsid w:val="00333B8D"/>
    <w:rsid w:val="00333CCA"/>
    <w:rsid w:val="00333D70"/>
    <w:rsid w:val="00333EAA"/>
    <w:rsid w:val="00334112"/>
    <w:rsid w:val="0033419B"/>
    <w:rsid w:val="003341CD"/>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004"/>
    <w:rsid w:val="003406DC"/>
    <w:rsid w:val="00341815"/>
    <w:rsid w:val="00341BBB"/>
    <w:rsid w:val="00341C95"/>
    <w:rsid w:val="00341DA8"/>
    <w:rsid w:val="003420D4"/>
    <w:rsid w:val="0034234E"/>
    <w:rsid w:val="003423A5"/>
    <w:rsid w:val="003424B4"/>
    <w:rsid w:val="0034275A"/>
    <w:rsid w:val="003428FC"/>
    <w:rsid w:val="00342949"/>
    <w:rsid w:val="00342B93"/>
    <w:rsid w:val="00342F26"/>
    <w:rsid w:val="00343142"/>
    <w:rsid w:val="003431E9"/>
    <w:rsid w:val="003435B4"/>
    <w:rsid w:val="0034393D"/>
    <w:rsid w:val="00343971"/>
    <w:rsid w:val="003439C3"/>
    <w:rsid w:val="00343B61"/>
    <w:rsid w:val="00343F22"/>
    <w:rsid w:val="0034423C"/>
    <w:rsid w:val="003442B7"/>
    <w:rsid w:val="003443C8"/>
    <w:rsid w:val="00344F18"/>
    <w:rsid w:val="003452BE"/>
    <w:rsid w:val="00345543"/>
    <w:rsid w:val="00345C31"/>
    <w:rsid w:val="00345E51"/>
    <w:rsid w:val="00345F12"/>
    <w:rsid w:val="00346634"/>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054"/>
    <w:rsid w:val="0035428C"/>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5966"/>
    <w:rsid w:val="00365C06"/>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8E"/>
    <w:rsid w:val="0037338A"/>
    <w:rsid w:val="00373806"/>
    <w:rsid w:val="00373A0C"/>
    <w:rsid w:val="00373A9A"/>
    <w:rsid w:val="00373B63"/>
    <w:rsid w:val="00373F29"/>
    <w:rsid w:val="0037486F"/>
    <w:rsid w:val="003748D6"/>
    <w:rsid w:val="00374BBE"/>
    <w:rsid w:val="00374D34"/>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B10"/>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038"/>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C0A"/>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9AC"/>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266"/>
    <w:rsid w:val="003B039C"/>
    <w:rsid w:val="003B03CF"/>
    <w:rsid w:val="003B0890"/>
    <w:rsid w:val="003B0BB5"/>
    <w:rsid w:val="003B129F"/>
    <w:rsid w:val="003B18C2"/>
    <w:rsid w:val="003B1A7B"/>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DB5"/>
    <w:rsid w:val="003C5F9D"/>
    <w:rsid w:val="003C6B3F"/>
    <w:rsid w:val="003C6BAC"/>
    <w:rsid w:val="003C6C98"/>
    <w:rsid w:val="003C6EA9"/>
    <w:rsid w:val="003C73E9"/>
    <w:rsid w:val="003C772D"/>
    <w:rsid w:val="003C7823"/>
    <w:rsid w:val="003D0086"/>
    <w:rsid w:val="003D056F"/>
    <w:rsid w:val="003D085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135"/>
    <w:rsid w:val="003E45C4"/>
    <w:rsid w:val="003E479E"/>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173"/>
    <w:rsid w:val="003F6447"/>
    <w:rsid w:val="003F66BA"/>
    <w:rsid w:val="003F69EA"/>
    <w:rsid w:val="003F6CB8"/>
    <w:rsid w:val="003F6F2F"/>
    <w:rsid w:val="003F753A"/>
    <w:rsid w:val="003F7BBC"/>
    <w:rsid w:val="003F7F31"/>
    <w:rsid w:val="004007C1"/>
    <w:rsid w:val="0040085A"/>
    <w:rsid w:val="00400C6C"/>
    <w:rsid w:val="00400E4D"/>
    <w:rsid w:val="00401328"/>
    <w:rsid w:val="00401384"/>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35"/>
    <w:rsid w:val="0040478D"/>
    <w:rsid w:val="00404A7A"/>
    <w:rsid w:val="00404B18"/>
    <w:rsid w:val="00404D97"/>
    <w:rsid w:val="00404F1D"/>
    <w:rsid w:val="00405054"/>
    <w:rsid w:val="004058AA"/>
    <w:rsid w:val="00405A78"/>
    <w:rsid w:val="00405A7D"/>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54"/>
    <w:rsid w:val="004145E9"/>
    <w:rsid w:val="0041496A"/>
    <w:rsid w:val="00414D72"/>
    <w:rsid w:val="00415057"/>
    <w:rsid w:val="0041508F"/>
    <w:rsid w:val="00415414"/>
    <w:rsid w:val="00415417"/>
    <w:rsid w:val="00415492"/>
    <w:rsid w:val="00415A6E"/>
    <w:rsid w:val="0041634E"/>
    <w:rsid w:val="00416358"/>
    <w:rsid w:val="00416B01"/>
    <w:rsid w:val="00416CB9"/>
    <w:rsid w:val="00416EA2"/>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208"/>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1D5"/>
    <w:rsid w:val="0043223C"/>
    <w:rsid w:val="00432364"/>
    <w:rsid w:val="004326E3"/>
    <w:rsid w:val="00432757"/>
    <w:rsid w:val="00432783"/>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CD8"/>
    <w:rsid w:val="00435E4E"/>
    <w:rsid w:val="00436E5C"/>
    <w:rsid w:val="00436F4B"/>
    <w:rsid w:val="00437664"/>
    <w:rsid w:val="004378FF"/>
    <w:rsid w:val="00437C4B"/>
    <w:rsid w:val="00437E19"/>
    <w:rsid w:val="004401F1"/>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82"/>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877"/>
    <w:rsid w:val="00453DF0"/>
    <w:rsid w:val="00454558"/>
    <w:rsid w:val="0045465A"/>
    <w:rsid w:val="0045494A"/>
    <w:rsid w:val="00454C3D"/>
    <w:rsid w:val="00454CCE"/>
    <w:rsid w:val="00454CE1"/>
    <w:rsid w:val="00454E17"/>
    <w:rsid w:val="00454E40"/>
    <w:rsid w:val="0045513E"/>
    <w:rsid w:val="004554C1"/>
    <w:rsid w:val="004556C6"/>
    <w:rsid w:val="00455B80"/>
    <w:rsid w:val="00455F3B"/>
    <w:rsid w:val="0045609B"/>
    <w:rsid w:val="00456123"/>
    <w:rsid w:val="00456A16"/>
    <w:rsid w:val="0045754D"/>
    <w:rsid w:val="004575C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B2A"/>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AD2"/>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860"/>
    <w:rsid w:val="00471F0B"/>
    <w:rsid w:val="0047205F"/>
    <w:rsid w:val="00472304"/>
    <w:rsid w:val="0047232F"/>
    <w:rsid w:val="0047245C"/>
    <w:rsid w:val="00472550"/>
    <w:rsid w:val="00472C6E"/>
    <w:rsid w:val="00472CCD"/>
    <w:rsid w:val="00472D4C"/>
    <w:rsid w:val="00472E37"/>
    <w:rsid w:val="00472F70"/>
    <w:rsid w:val="00472F89"/>
    <w:rsid w:val="0047303E"/>
    <w:rsid w:val="00473415"/>
    <w:rsid w:val="00473801"/>
    <w:rsid w:val="00473F27"/>
    <w:rsid w:val="00474104"/>
    <w:rsid w:val="00474332"/>
    <w:rsid w:val="0047435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6FFD"/>
    <w:rsid w:val="004770D4"/>
    <w:rsid w:val="004774D9"/>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2FB"/>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C0"/>
    <w:rsid w:val="004864E9"/>
    <w:rsid w:val="004866B2"/>
    <w:rsid w:val="00486BE5"/>
    <w:rsid w:val="00486D04"/>
    <w:rsid w:val="00487010"/>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790"/>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87C"/>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5D5B"/>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2B0F"/>
    <w:rsid w:val="004C32E0"/>
    <w:rsid w:val="004C359D"/>
    <w:rsid w:val="004C3803"/>
    <w:rsid w:val="004C3A9C"/>
    <w:rsid w:val="004C3CCB"/>
    <w:rsid w:val="004C4787"/>
    <w:rsid w:val="004C4809"/>
    <w:rsid w:val="004C480E"/>
    <w:rsid w:val="004C50EB"/>
    <w:rsid w:val="004C5159"/>
    <w:rsid w:val="004C57A0"/>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1FEF"/>
    <w:rsid w:val="004D26CA"/>
    <w:rsid w:val="004D29E5"/>
    <w:rsid w:val="004D2CF0"/>
    <w:rsid w:val="004D332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7A"/>
    <w:rsid w:val="004D6EE0"/>
    <w:rsid w:val="004D7321"/>
    <w:rsid w:val="004D783A"/>
    <w:rsid w:val="004D78D6"/>
    <w:rsid w:val="004E0148"/>
    <w:rsid w:val="004E0396"/>
    <w:rsid w:val="004E0C72"/>
    <w:rsid w:val="004E0EF9"/>
    <w:rsid w:val="004E0F45"/>
    <w:rsid w:val="004E10EF"/>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42A"/>
    <w:rsid w:val="004F2C03"/>
    <w:rsid w:val="004F2E06"/>
    <w:rsid w:val="004F32DD"/>
    <w:rsid w:val="004F332D"/>
    <w:rsid w:val="004F36CF"/>
    <w:rsid w:val="004F378F"/>
    <w:rsid w:val="004F3DE3"/>
    <w:rsid w:val="004F3E96"/>
    <w:rsid w:val="004F40CE"/>
    <w:rsid w:val="004F4AF9"/>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64"/>
    <w:rsid w:val="005044BF"/>
    <w:rsid w:val="005052D9"/>
    <w:rsid w:val="00505391"/>
    <w:rsid w:val="005057D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9B5"/>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504"/>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A49"/>
    <w:rsid w:val="00520C10"/>
    <w:rsid w:val="00521053"/>
    <w:rsid w:val="005210D7"/>
    <w:rsid w:val="0052125E"/>
    <w:rsid w:val="005215E1"/>
    <w:rsid w:val="005217ED"/>
    <w:rsid w:val="0052181C"/>
    <w:rsid w:val="00521A49"/>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4DB"/>
    <w:rsid w:val="00530E3B"/>
    <w:rsid w:val="00530E88"/>
    <w:rsid w:val="00530F81"/>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48"/>
    <w:rsid w:val="005356CF"/>
    <w:rsid w:val="00535AF0"/>
    <w:rsid w:val="00535BA5"/>
    <w:rsid w:val="00536025"/>
    <w:rsid w:val="005364AE"/>
    <w:rsid w:val="005369A2"/>
    <w:rsid w:val="00536CE2"/>
    <w:rsid w:val="00536ECC"/>
    <w:rsid w:val="0053717B"/>
    <w:rsid w:val="00537581"/>
    <w:rsid w:val="0053770B"/>
    <w:rsid w:val="00537D90"/>
    <w:rsid w:val="005407EF"/>
    <w:rsid w:val="00540BF1"/>
    <w:rsid w:val="00541757"/>
    <w:rsid w:val="005417EC"/>
    <w:rsid w:val="0054182A"/>
    <w:rsid w:val="00541F67"/>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5A6"/>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4F91"/>
    <w:rsid w:val="005550B1"/>
    <w:rsid w:val="005552C1"/>
    <w:rsid w:val="00555BF7"/>
    <w:rsid w:val="0055601C"/>
    <w:rsid w:val="0055602C"/>
    <w:rsid w:val="00556113"/>
    <w:rsid w:val="00556125"/>
    <w:rsid w:val="0055625C"/>
    <w:rsid w:val="005562EB"/>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20"/>
    <w:rsid w:val="00561344"/>
    <w:rsid w:val="0056150C"/>
    <w:rsid w:val="005615DE"/>
    <w:rsid w:val="00561D9A"/>
    <w:rsid w:val="00561E78"/>
    <w:rsid w:val="00561F12"/>
    <w:rsid w:val="00561F15"/>
    <w:rsid w:val="00561F74"/>
    <w:rsid w:val="00562105"/>
    <w:rsid w:val="005622FC"/>
    <w:rsid w:val="005624AA"/>
    <w:rsid w:val="00562694"/>
    <w:rsid w:val="00562AF5"/>
    <w:rsid w:val="00562F21"/>
    <w:rsid w:val="00563167"/>
    <w:rsid w:val="005631CC"/>
    <w:rsid w:val="0056364A"/>
    <w:rsid w:val="0056371B"/>
    <w:rsid w:val="00563814"/>
    <w:rsid w:val="00564017"/>
    <w:rsid w:val="005640A2"/>
    <w:rsid w:val="00564147"/>
    <w:rsid w:val="00564506"/>
    <w:rsid w:val="00564809"/>
    <w:rsid w:val="00564B32"/>
    <w:rsid w:val="00564FB2"/>
    <w:rsid w:val="005652C8"/>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621"/>
    <w:rsid w:val="0057267F"/>
    <w:rsid w:val="005728E1"/>
    <w:rsid w:val="00572BA3"/>
    <w:rsid w:val="00573195"/>
    <w:rsid w:val="00573971"/>
    <w:rsid w:val="00573C0E"/>
    <w:rsid w:val="00573D82"/>
    <w:rsid w:val="00573E52"/>
    <w:rsid w:val="00573E9B"/>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453"/>
    <w:rsid w:val="00580928"/>
    <w:rsid w:val="00580AC0"/>
    <w:rsid w:val="00580BB8"/>
    <w:rsid w:val="00581051"/>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4E9D"/>
    <w:rsid w:val="00585219"/>
    <w:rsid w:val="005856A5"/>
    <w:rsid w:val="005859AF"/>
    <w:rsid w:val="00585B47"/>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5F2"/>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233"/>
    <w:rsid w:val="00597317"/>
    <w:rsid w:val="00597643"/>
    <w:rsid w:val="00597F74"/>
    <w:rsid w:val="00597F78"/>
    <w:rsid w:val="005A005E"/>
    <w:rsid w:val="005A01D3"/>
    <w:rsid w:val="005A0239"/>
    <w:rsid w:val="005A02C7"/>
    <w:rsid w:val="005A0347"/>
    <w:rsid w:val="005A0391"/>
    <w:rsid w:val="005A03AF"/>
    <w:rsid w:val="005A05F5"/>
    <w:rsid w:val="005A0846"/>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3B9F"/>
    <w:rsid w:val="005B421A"/>
    <w:rsid w:val="005B49BB"/>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AD0"/>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62"/>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2F7"/>
    <w:rsid w:val="005C562D"/>
    <w:rsid w:val="005C5779"/>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0C3"/>
    <w:rsid w:val="005D12E4"/>
    <w:rsid w:val="005D18FD"/>
    <w:rsid w:val="005D252C"/>
    <w:rsid w:val="005D2554"/>
    <w:rsid w:val="005D27F6"/>
    <w:rsid w:val="005D2864"/>
    <w:rsid w:val="005D28B7"/>
    <w:rsid w:val="005D2A7A"/>
    <w:rsid w:val="005D2B23"/>
    <w:rsid w:val="005D3076"/>
    <w:rsid w:val="005D3292"/>
    <w:rsid w:val="005D33B9"/>
    <w:rsid w:val="005D36F6"/>
    <w:rsid w:val="005D3A37"/>
    <w:rsid w:val="005D4196"/>
    <w:rsid w:val="005D41B8"/>
    <w:rsid w:val="005D44AE"/>
    <w:rsid w:val="005D48B5"/>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6FAD"/>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22C"/>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77E"/>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1B6"/>
    <w:rsid w:val="00611291"/>
    <w:rsid w:val="0061166F"/>
    <w:rsid w:val="006119AC"/>
    <w:rsid w:val="00611B87"/>
    <w:rsid w:val="00611BA5"/>
    <w:rsid w:val="00611C51"/>
    <w:rsid w:val="00611EED"/>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842"/>
    <w:rsid w:val="00625B1E"/>
    <w:rsid w:val="00626459"/>
    <w:rsid w:val="0062655D"/>
    <w:rsid w:val="006267B7"/>
    <w:rsid w:val="00626C72"/>
    <w:rsid w:val="00626DD0"/>
    <w:rsid w:val="006271E9"/>
    <w:rsid w:val="00627276"/>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5E0"/>
    <w:rsid w:val="0063767A"/>
    <w:rsid w:val="00637A4C"/>
    <w:rsid w:val="00637C07"/>
    <w:rsid w:val="00637F63"/>
    <w:rsid w:val="00637FBF"/>
    <w:rsid w:val="006400AC"/>
    <w:rsid w:val="006401B4"/>
    <w:rsid w:val="006401B7"/>
    <w:rsid w:val="006406A8"/>
    <w:rsid w:val="006408A4"/>
    <w:rsid w:val="0064188D"/>
    <w:rsid w:val="00641A13"/>
    <w:rsid w:val="00641F66"/>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087"/>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9EB"/>
    <w:rsid w:val="00651CB3"/>
    <w:rsid w:val="0065285E"/>
    <w:rsid w:val="00653321"/>
    <w:rsid w:val="00653B1E"/>
    <w:rsid w:val="00654105"/>
    <w:rsid w:val="006541F8"/>
    <w:rsid w:val="00654375"/>
    <w:rsid w:val="0065467E"/>
    <w:rsid w:val="006546ED"/>
    <w:rsid w:val="006547BF"/>
    <w:rsid w:val="0065494B"/>
    <w:rsid w:val="00654C3D"/>
    <w:rsid w:val="00654C60"/>
    <w:rsid w:val="00654DF8"/>
    <w:rsid w:val="006553F6"/>
    <w:rsid w:val="00655689"/>
    <w:rsid w:val="006557B8"/>
    <w:rsid w:val="00655F2B"/>
    <w:rsid w:val="00655F54"/>
    <w:rsid w:val="0065605A"/>
    <w:rsid w:val="006561FB"/>
    <w:rsid w:val="00656311"/>
    <w:rsid w:val="0065649C"/>
    <w:rsid w:val="006564C7"/>
    <w:rsid w:val="00656628"/>
    <w:rsid w:val="00656864"/>
    <w:rsid w:val="00656878"/>
    <w:rsid w:val="00656A74"/>
    <w:rsid w:val="00656DD8"/>
    <w:rsid w:val="00656FA7"/>
    <w:rsid w:val="006574C4"/>
    <w:rsid w:val="00657563"/>
    <w:rsid w:val="00657D39"/>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8C"/>
    <w:rsid w:val="00685DFA"/>
    <w:rsid w:val="006861E8"/>
    <w:rsid w:val="00686265"/>
    <w:rsid w:val="0068697D"/>
    <w:rsid w:val="00686CD5"/>
    <w:rsid w:val="00686DE8"/>
    <w:rsid w:val="0068723C"/>
    <w:rsid w:val="00687376"/>
    <w:rsid w:val="006874C7"/>
    <w:rsid w:val="00687937"/>
    <w:rsid w:val="00687A17"/>
    <w:rsid w:val="00687B51"/>
    <w:rsid w:val="00687B7F"/>
    <w:rsid w:val="00687D42"/>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6245"/>
    <w:rsid w:val="00696526"/>
    <w:rsid w:val="00696565"/>
    <w:rsid w:val="006966E7"/>
    <w:rsid w:val="006969F4"/>
    <w:rsid w:val="00696AFB"/>
    <w:rsid w:val="00696C97"/>
    <w:rsid w:val="00696DEE"/>
    <w:rsid w:val="00697680"/>
    <w:rsid w:val="00697770"/>
    <w:rsid w:val="006977B8"/>
    <w:rsid w:val="00697CCD"/>
    <w:rsid w:val="006A019F"/>
    <w:rsid w:val="006A022E"/>
    <w:rsid w:val="006A05D2"/>
    <w:rsid w:val="006A090F"/>
    <w:rsid w:val="006A09C2"/>
    <w:rsid w:val="006A0B51"/>
    <w:rsid w:val="006A0D3B"/>
    <w:rsid w:val="006A1224"/>
    <w:rsid w:val="006A12E6"/>
    <w:rsid w:val="006A15F0"/>
    <w:rsid w:val="006A188D"/>
    <w:rsid w:val="006A1CC0"/>
    <w:rsid w:val="006A2898"/>
    <w:rsid w:val="006A2A34"/>
    <w:rsid w:val="006A2A38"/>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3C64"/>
    <w:rsid w:val="006C4033"/>
    <w:rsid w:val="006C4859"/>
    <w:rsid w:val="006C4CC8"/>
    <w:rsid w:val="006C52FF"/>
    <w:rsid w:val="006C5688"/>
    <w:rsid w:val="006C589D"/>
    <w:rsid w:val="006C6367"/>
    <w:rsid w:val="006C643D"/>
    <w:rsid w:val="006C66F3"/>
    <w:rsid w:val="006C6865"/>
    <w:rsid w:val="006C6B58"/>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A0B"/>
    <w:rsid w:val="006D1B60"/>
    <w:rsid w:val="006D1CDC"/>
    <w:rsid w:val="006D1F41"/>
    <w:rsid w:val="006D2383"/>
    <w:rsid w:val="006D2549"/>
    <w:rsid w:val="006D25E4"/>
    <w:rsid w:val="006D2C0A"/>
    <w:rsid w:val="006D3518"/>
    <w:rsid w:val="006D35B3"/>
    <w:rsid w:val="006D3917"/>
    <w:rsid w:val="006D3BB6"/>
    <w:rsid w:val="006D404E"/>
    <w:rsid w:val="006D413C"/>
    <w:rsid w:val="006D41E8"/>
    <w:rsid w:val="006D4483"/>
    <w:rsid w:val="006D45F9"/>
    <w:rsid w:val="006D4613"/>
    <w:rsid w:val="006D46F7"/>
    <w:rsid w:val="006D48DE"/>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3BF"/>
    <w:rsid w:val="006E263B"/>
    <w:rsid w:val="006E26BB"/>
    <w:rsid w:val="006E285C"/>
    <w:rsid w:val="006E2BF4"/>
    <w:rsid w:val="006E2C4F"/>
    <w:rsid w:val="006E2E5B"/>
    <w:rsid w:val="006E3070"/>
    <w:rsid w:val="006E3132"/>
    <w:rsid w:val="006E32C0"/>
    <w:rsid w:val="006E33C5"/>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348"/>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2C94"/>
    <w:rsid w:val="006F323D"/>
    <w:rsid w:val="006F35EF"/>
    <w:rsid w:val="006F3663"/>
    <w:rsid w:val="006F3A51"/>
    <w:rsid w:val="006F3B0E"/>
    <w:rsid w:val="006F3E0B"/>
    <w:rsid w:val="006F3F5E"/>
    <w:rsid w:val="006F4511"/>
    <w:rsid w:val="006F4698"/>
    <w:rsid w:val="006F489B"/>
    <w:rsid w:val="006F4969"/>
    <w:rsid w:val="006F4C93"/>
    <w:rsid w:val="006F50A4"/>
    <w:rsid w:val="006F5178"/>
    <w:rsid w:val="006F5717"/>
    <w:rsid w:val="006F58CE"/>
    <w:rsid w:val="006F5932"/>
    <w:rsid w:val="006F611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018"/>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9FF"/>
    <w:rsid w:val="00717FBB"/>
    <w:rsid w:val="00720201"/>
    <w:rsid w:val="007204B1"/>
    <w:rsid w:val="007204E3"/>
    <w:rsid w:val="0072067E"/>
    <w:rsid w:val="007207D8"/>
    <w:rsid w:val="007209BD"/>
    <w:rsid w:val="00720CFB"/>
    <w:rsid w:val="00720D47"/>
    <w:rsid w:val="0072108D"/>
    <w:rsid w:val="00721327"/>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7E"/>
    <w:rsid w:val="007244DB"/>
    <w:rsid w:val="00724696"/>
    <w:rsid w:val="00724838"/>
    <w:rsid w:val="00724C49"/>
    <w:rsid w:val="00724C66"/>
    <w:rsid w:val="00724DE2"/>
    <w:rsid w:val="00724E68"/>
    <w:rsid w:val="0072567F"/>
    <w:rsid w:val="00725833"/>
    <w:rsid w:val="0072592E"/>
    <w:rsid w:val="00725D0A"/>
    <w:rsid w:val="00725D94"/>
    <w:rsid w:val="00725EB3"/>
    <w:rsid w:val="007262D6"/>
    <w:rsid w:val="007263BE"/>
    <w:rsid w:val="00726515"/>
    <w:rsid w:val="00726B1E"/>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7067"/>
    <w:rsid w:val="0073729E"/>
    <w:rsid w:val="007374C2"/>
    <w:rsid w:val="00737630"/>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2CB1"/>
    <w:rsid w:val="00743082"/>
    <w:rsid w:val="00743090"/>
    <w:rsid w:val="00743630"/>
    <w:rsid w:val="007439E2"/>
    <w:rsid w:val="00743CDB"/>
    <w:rsid w:val="00743DC8"/>
    <w:rsid w:val="007449DC"/>
    <w:rsid w:val="00744A56"/>
    <w:rsid w:val="00744C61"/>
    <w:rsid w:val="0074589F"/>
    <w:rsid w:val="00745A17"/>
    <w:rsid w:val="00745BB0"/>
    <w:rsid w:val="00746181"/>
    <w:rsid w:val="007464BC"/>
    <w:rsid w:val="00746932"/>
    <w:rsid w:val="00747A8F"/>
    <w:rsid w:val="00747D09"/>
    <w:rsid w:val="00747DD7"/>
    <w:rsid w:val="00747FBE"/>
    <w:rsid w:val="00750297"/>
    <w:rsid w:val="00750963"/>
    <w:rsid w:val="00751253"/>
    <w:rsid w:val="0075145C"/>
    <w:rsid w:val="007514B4"/>
    <w:rsid w:val="00751EEB"/>
    <w:rsid w:val="007521C4"/>
    <w:rsid w:val="0075252F"/>
    <w:rsid w:val="0075257C"/>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A6A"/>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C2E"/>
    <w:rsid w:val="00767D92"/>
    <w:rsid w:val="0077019B"/>
    <w:rsid w:val="00770588"/>
    <w:rsid w:val="007706E3"/>
    <w:rsid w:val="0077091C"/>
    <w:rsid w:val="007709BD"/>
    <w:rsid w:val="007709C6"/>
    <w:rsid w:val="00770F09"/>
    <w:rsid w:val="007711B7"/>
    <w:rsid w:val="0077123F"/>
    <w:rsid w:val="007712C1"/>
    <w:rsid w:val="007719B6"/>
    <w:rsid w:val="0077293D"/>
    <w:rsid w:val="00772948"/>
    <w:rsid w:val="00772A99"/>
    <w:rsid w:val="00772C13"/>
    <w:rsid w:val="00772DF6"/>
    <w:rsid w:val="00772E50"/>
    <w:rsid w:val="00773365"/>
    <w:rsid w:val="007735E9"/>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DD"/>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6BC8"/>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01D"/>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2F00"/>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A21"/>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5BC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49F"/>
    <w:rsid w:val="007C454B"/>
    <w:rsid w:val="007C46D1"/>
    <w:rsid w:val="007C4B3B"/>
    <w:rsid w:val="007C4FD9"/>
    <w:rsid w:val="007C54AF"/>
    <w:rsid w:val="007C5B98"/>
    <w:rsid w:val="007C5BAF"/>
    <w:rsid w:val="007C5E29"/>
    <w:rsid w:val="007C62C6"/>
    <w:rsid w:val="007C6D9B"/>
    <w:rsid w:val="007C6E4E"/>
    <w:rsid w:val="007C7899"/>
    <w:rsid w:val="007C79B8"/>
    <w:rsid w:val="007C79F0"/>
    <w:rsid w:val="007C7CD2"/>
    <w:rsid w:val="007C7DFE"/>
    <w:rsid w:val="007C7E35"/>
    <w:rsid w:val="007C7E87"/>
    <w:rsid w:val="007C7EBE"/>
    <w:rsid w:val="007C7F36"/>
    <w:rsid w:val="007D012E"/>
    <w:rsid w:val="007D05B0"/>
    <w:rsid w:val="007D0ADC"/>
    <w:rsid w:val="007D0CFD"/>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7B9"/>
    <w:rsid w:val="007D58CE"/>
    <w:rsid w:val="007D5A1D"/>
    <w:rsid w:val="007D5D99"/>
    <w:rsid w:val="007D6153"/>
    <w:rsid w:val="007D6569"/>
    <w:rsid w:val="007D660B"/>
    <w:rsid w:val="007D6806"/>
    <w:rsid w:val="007D6A7C"/>
    <w:rsid w:val="007D6DEB"/>
    <w:rsid w:val="007D6E67"/>
    <w:rsid w:val="007D7274"/>
    <w:rsid w:val="007D7625"/>
    <w:rsid w:val="007D791B"/>
    <w:rsid w:val="007D7CE5"/>
    <w:rsid w:val="007D7CE7"/>
    <w:rsid w:val="007D7D39"/>
    <w:rsid w:val="007D7EE2"/>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CD5"/>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AB5"/>
    <w:rsid w:val="00805B9D"/>
    <w:rsid w:val="00805BA7"/>
    <w:rsid w:val="00805C4D"/>
    <w:rsid w:val="00805E88"/>
    <w:rsid w:val="00805F4B"/>
    <w:rsid w:val="008060C7"/>
    <w:rsid w:val="008064C0"/>
    <w:rsid w:val="008065E3"/>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208"/>
    <w:rsid w:val="00811999"/>
    <w:rsid w:val="00811C95"/>
    <w:rsid w:val="00811DFE"/>
    <w:rsid w:val="00811E6A"/>
    <w:rsid w:val="00812348"/>
    <w:rsid w:val="0081236B"/>
    <w:rsid w:val="0081283E"/>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A5"/>
    <w:rsid w:val="008169D1"/>
    <w:rsid w:val="00816CD3"/>
    <w:rsid w:val="00816DBB"/>
    <w:rsid w:val="00816FB8"/>
    <w:rsid w:val="008170C5"/>
    <w:rsid w:val="008171FD"/>
    <w:rsid w:val="00817546"/>
    <w:rsid w:val="00817918"/>
    <w:rsid w:val="00817B4C"/>
    <w:rsid w:val="00820004"/>
    <w:rsid w:val="00820422"/>
    <w:rsid w:val="0082049B"/>
    <w:rsid w:val="00820610"/>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000"/>
    <w:rsid w:val="0082618C"/>
    <w:rsid w:val="00826252"/>
    <w:rsid w:val="00826298"/>
    <w:rsid w:val="00826566"/>
    <w:rsid w:val="008265D0"/>
    <w:rsid w:val="0082687F"/>
    <w:rsid w:val="00826C1B"/>
    <w:rsid w:val="00826DED"/>
    <w:rsid w:val="00827303"/>
    <w:rsid w:val="0082738D"/>
    <w:rsid w:val="00827606"/>
    <w:rsid w:val="008277F3"/>
    <w:rsid w:val="00827847"/>
    <w:rsid w:val="008279EC"/>
    <w:rsid w:val="00827DA2"/>
    <w:rsid w:val="00827E75"/>
    <w:rsid w:val="008302F1"/>
    <w:rsid w:val="00830526"/>
    <w:rsid w:val="0083082D"/>
    <w:rsid w:val="00830AA5"/>
    <w:rsid w:val="00830B22"/>
    <w:rsid w:val="00830D94"/>
    <w:rsid w:val="00830E46"/>
    <w:rsid w:val="00830EBF"/>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987"/>
    <w:rsid w:val="00833F03"/>
    <w:rsid w:val="008341AE"/>
    <w:rsid w:val="00834870"/>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4D"/>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DEB"/>
    <w:rsid w:val="00850F64"/>
    <w:rsid w:val="00851102"/>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FC2"/>
    <w:rsid w:val="00875395"/>
    <w:rsid w:val="008754BC"/>
    <w:rsid w:val="00875CD0"/>
    <w:rsid w:val="00875DB5"/>
    <w:rsid w:val="00875F86"/>
    <w:rsid w:val="0087626B"/>
    <w:rsid w:val="00876452"/>
    <w:rsid w:val="00876526"/>
    <w:rsid w:val="008773FF"/>
    <w:rsid w:val="00877802"/>
    <w:rsid w:val="00880374"/>
    <w:rsid w:val="0088091B"/>
    <w:rsid w:val="00880989"/>
    <w:rsid w:val="00880B12"/>
    <w:rsid w:val="00880E0C"/>
    <w:rsid w:val="00880FCE"/>
    <w:rsid w:val="00881138"/>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877"/>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ACD"/>
    <w:rsid w:val="00893B96"/>
    <w:rsid w:val="00893C82"/>
    <w:rsid w:val="00894060"/>
    <w:rsid w:val="0089417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ECA"/>
    <w:rsid w:val="008A01AF"/>
    <w:rsid w:val="008A0A6D"/>
    <w:rsid w:val="008A0ED9"/>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1EA"/>
    <w:rsid w:val="008B12A6"/>
    <w:rsid w:val="008B137B"/>
    <w:rsid w:val="008B13B3"/>
    <w:rsid w:val="008B16B6"/>
    <w:rsid w:val="008B17EF"/>
    <w:rsid w:val="008B1DE3"/>
    <w:rsid w:val="008B238E"/>
    <w:rsid w:val="008B24F3"/>
    <w:rsid w:val="008B254C"/>
    <w:rsid w:val="008B2934"/>
    <w:rsid w:val="008B2D79"/>
    <w:rsid w:val="008B2E6F"/>
    <w:rsid w:val="008B300D"/>
    <w:rsid w:val="008B318C"/>
    <w:rsid w:val="008B3AEA"/>
    <w:rsid w:val="008B3B86"/>
    <w:rsid w:val="008B3BD8"/>
    <w:rsid w:val="008B3F4B"/>
    <w:rsid w:val="008B4294"/>
    <w:rsid w:val="008B48D9"/>
    <w:rsid w:val="008B4AE1"/>
    <w:rsid w:val="008B55CA"/>
    <w:rsid w:val="008B573B"/>
    <w:rsid w:val="008B59D0"/>
    <w:rsid w:val="008B5A60"/>
    <w:rsid w:val="008B5BDF"/>
    <w:rsid w:val="008B5C3C"/>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D77"/>
    <w:rsid w:val="008C4F27"/>
    <w:rsid w:val="008C4FF1"/>
    <w:rsid w:val="008C507A"/>
    <w:rsid w:val="008C50C3"/>
    <w:rsid w:val="008C5368"/>
    <w:rsid w:val="008C5395"/>
    <w:rsid w:val="008C5546"/>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1F56"/>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4E5F"/>
    <w:rsid w:val="008D51C1"/>
    <w:rsid w:val="008D51F1"/>
    <w:rsid w:val="008D5CCB"/>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0EFA"/>
    <w:rsid w:val="00901228"/>
    <w:rsid w:val="0090137D"/>
    <w:rsid w:val="0090169B"/>
    <w:rsid w:val="0090181D"/>
    <w:rsid w:val="00901BEC"/>
    <w:rsid w:val="00901EF3"/>
    <w:rsid w:val="0090205C"/>
    <w:rsid w:val="009028BA"/>
    <w:rsid w:val="00902DB7"/>
    <w:rsid w:val="00902F71"/>
    <w:rsid w:val="009030E4"/>
    <w:rsid w:val="009031EE"/>
    <w:rsid w:val="00903399"/>
    <w:rsid w:val="00903474"/>
    <w:rsid w:val="00903600"/>
    <w:rsid w:val="00903E6C"/>
    <w:rsid w:val="00904500"/>
    <w:rsid w:val="00904BEF"/>
    <w:rsid w:val="00904D43"/>
    <w:rsid w:val="00904F99"/>
    <w:rsid w:val="00904FED"/>
    <w:rsid w:val="009054AE"/>
    <w:rsid w:val="0090557D"/>
    <w:rsid w:val="0090561E"/>
    <w:rsid w:val="00905696"/>
    <w:rsid w:val="009056C9"/>
    <w:rsid w:val="00905776"/>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A03"/>
    <w:rsid w:val="00914CDC"/>
    <w:rsid w:val="00914E4D"/>
    <w:rsid w:val="009150C9"/>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9A"/>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163"/>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CD"/>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64A"/>
    <w:rsid w:val="00950B18"/>
    <w:rsid w:val="00950BAB"/>
    <w:rsid w:val="00950C86"/>
    <w:rsid w:val="0095106D"/>
    <w:rsid w:val="00951106"/>
    <w:rsid w:val="009514DD"/>
    <w:rsid w:val="0095183E"/>
    <w:rsid w:val="00952346"/>
    <w:rsid w:val="009524CC"/>
    <w:rsid w:val="009529F4"/>
    <w:rsid w:val="00952D7E"/>
    <w:rsid w:val="00952EC0"/>
    <w:rsid w:val="00953536"/>
    <w:rsid w:val="00953891"/>
    <w:rsid w:val="009539B8"/>
    <w:rsid w:val="00953B89"/>
    <w:rsid w:val="00953EDC"/>
    <w:rsid w:val="00954692"/>
    <w:rsid w:val="009547A0"/>
    <w:rsid w:val="00954E59"/>
    <w:rsid w:val="009550F9"/>
    <w:rsid w:val="009551B3"/>
    <w:rsid w:val="009555EC"/>
    <w:rsid w:val="009556AB"/>
    <w:rsid w:val="00955F3E"/>
    <w:rsid w:val="00956220"/>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38E"/>
    <w:rsid w:val="009623FC"/>
    <w:rsid w:val="00962BFF"/>
    <w:rsid w:val="00962FFA"/>
    <w:rsid w:val="00963075"/>
    <w:rsid w:val="009630B6"/>
    <w:rsid w:val="0096355B"/>
    <w:rsid w:val="00963797"/>
    <w:rsid w:val="00963CB7"/>
    <w:rsid w:val="00963CDA"/>
    <w:rsid w:val="00963E5F"/>
    <w:rsid w:val="00963FDA"/>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4E1"/>
    <w:rsid w:val="0097051E"/>
    <w:rsid w:val="0097091B"/>
    <w:rsid w:val="00970B39"/>
    <w:rsid w:val="00970F77"/>
    <w:rsid w:val="00970F98"/>
    <w:rsid w:val="00970FE7"/>
    <w:rsid w:val="0097109F"/>
    <w:rsid w:val="009715EC"/>
    <w:rsid w:val="009716BC"/>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2F08"/>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008"/>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728"/>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41"/>
    <w:rsid w:val="009C0EA2"/>
    <w:rsid w:val="009C10F7"/>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17D"/>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538"/>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8A7"/>
    <w:rsid w:val="009E7EC9"/>
    <w:rsid w:val="009F03D2"/>
    <w:rsid w:val="009F0895"/>
    <w:rsid w:val="009F09C5"/>
    <w:rsid w:val="009F0B3E"/>
    <w:rsid w:val="009F0C6F"/>
    <w:rsid w:val="009F1183"/>
    <w:rsid w:val="009F168F"/>
    <w:rsid w:val="009F17DE"/>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2F8"/>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D27"/>
    <w:rsid w:val="00A21ED0"/>
    <w:rsid w:val="00A2210F"/>
    <w:rsid w:val="00A22648"/>
    <w:rsid w:val="00A22EBE"/>
    <w:rsid w:val="00A23366"/>
    <w:rsid w:val="00A238FA"/>
    <w:rsid w:val="00A23DDE"/>
    <w:rsid w:val="00A240FA"/>
    <w:rsid w:val="00A24342"/>
    <w:rsid w:val="00A243B6"/>
    <w:rsid w:val="00A243EB"/>
    <w:rsid w:val="00A24498"/>
    <w:rsid w:val="00A246FF"/>
    <w:rsid w:val="00A24761"/>
    <w:rsid w:val="00A24779"/>
    <w:rsid w:val="00A24A08"/>
    <w:rsid w:val="00A24B29"/>
    <w:rsid w:val="00A251AE"/>
    <w:rsid w:val="00A252CB"/>
    <w:rsid w:val="00A2534B"/>
    <w:rsid w:val="00A255C7"/>
    <w:rsid w:val="00A25C27"/>
    <w:rsid w:val="00A26094"/>
    <w:rsid w:val="00A26A81"/>
    <w:rsid w:val="00A26B01"/>
    <w:rsid w:val="00A26CC8"/>
    <w:rsid w:val="00A2721C"/>
    <w:rsid w:val="00A27247"/>
    <w:rsid w:val="00A277F9"/>
    <w:rsid w:val="00A27BFA"/>
    <w:rsid w:val="00A27C14"/>
    <w:rsid w:val="00A27C64"/>
    <w:rsid w:val="00A27D8C"/>
    <w:rsid w:val="00A27E2B"/>
    <w:rsid w:val="00A27F83"/>
    <w:rsid w:val="00A3013B"/>
    <w:rsid w:val="00A3027D"/>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3E8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DEC"/>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4DD2"/>
    <w:rsid w:val="00A750B6"/>
    <w:rsid w:val="00A751B6"/>
    <w:rsid w:val="00A752F3"/>
    <w:rsid w:val="00A753A2"/>
    <w:rsid w:val="00A756DC"/>
    <w:rsid w:val="00A75F84"/>
    <w:rsid w:val="00A76003"/>
    <w:rsid w:val="00A764B9"/>
    <w:rsid w:val="00A76BD4"/>
    <w:rsid w:val="00A76EDB"/>
    <w:rsid w:val="00A77A82"/>
    <w:rsid w:val="00A77C56"/>
    <w:rsid w:val="00A804BD"/>
    <w:rsid w:val="00A80863"/>
    <w:rsid w:val="00A808FA"/>
    <w:rsid w:val="00A80D91"/>
    <w:rsid w:val="00A81490"/>
    <w:rsid w:val="00A81663"/>
    <w:rsid w:val="00A820BF"/>
    <w:rsid w:val="00A827E9"/>
    <w:rsid w:val="00A82873"/>
    <w:rsid w:val="00A82EE6"/>
    <w:rsid w:val="00A82FBD"/>
    <w:rsid w:val="00A833D7"/>
    <w:rsid w:val="00A8340E"/>
    <w:rsid w:val="00A8343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2FC"/>
    <w:rsid w:val="00A85454"/>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2A1"/>
    <w:rsid w:val="00A9433A"/>
    <w:rsid w:val="00A9461B"/>
    <w:rsid w:val="00A94640"/>
    <w:rsid w:val="00A94D3A"/>
    <w:rsid w:val="00A94D69"/>
    <w:rsid w:val="00A94F62"/>
    <w:rsid w:val="00A94FFC"/>
    <w:rsid w:val="00A955B9"/>
    <w:rsid w:val="00A9581E"/>
    <w:rsid w:val="00A959D9"/>
    <w:rsid w:val="00A959DF"/>
    <w:rsid w:val="00A95D54"/>
    <w:rsid w:val="00A96A41"/>
    <w:rsid w:val="00A96C57"/>
    <w:rsid w:val="00A96D07"/>
    <w:rsid w:val="00A96E00"/>
    <w:rsid w:val="00A97E49"/>
    <w:rsid w:val="00AA0245"/>
    <w:rsid w:val="00AA02FB"/>
    <w:rsid w:val="00AA03B9"/>
    <w:rsid w:val="00AA04FF"/>
    <w:rsid w:val="00AA05A8"/>
    <w:rsid w:val="00AA08B1"/>
    <w:rsid w:val="00AA0C4B"/>
    <w:rsid w:val="00AA0C71"/>
    <w:rsid w:val="00AA0EC4"/>
    <w:rsid w:val="00AA104D"/>
    <w:rsid w:val="00AA1260"/>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60"/>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4C1"/>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7D0"/>
    <w:rsid w:val="00AC09AB"/>
    <w:rsid w:val="00AC0C38"/>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8DE"/>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3C"/>
    <w:rsid w:val="00AC7CBA"/>
    <w:rsid w:val="00AC7E76"/>
    <w:rsid w:val="00AD0837"/>
    <w:rsid w:val="00AD0AF5"/>
    <w:rsid w:val="00AD14AF"/>
    <w:rsid w:val="00AD2053"/>
    <w:rsid w:val="00AD2214"/>
    <w:rsid w:val="00AD26F1"/>
    <w:rsid w:val="00AD30A6"/>
    <w:rsid w:val="00AD31CF"/>
    <w:rsid w:val="00AD3EB6"/>
    <w:rsid w:val="00AD40B6"/>
    <w:rsid w:val="00AD4105"/>
    <w:rsid w:val="00AD4374"/>
    <w:rsid w:val="00AD4513"/>
    <w:rsid w:val="00AD4854"/>
    <w:rsid w:val="00AD4893"/>
    <w:rsid w:val="00AD4CD0"/>
    <w:rsid w:val="00AD4D88"/>
    <w:rsid w:val="00AD506A"/>
    <w:rsid w:val="00AD50A8"/>
    <w:rsid w:val="00AD568D"/>
    <w:rsid w:val="00AD59EE"/>
    <w:rsid w:val="00AD5F46"/>
    <w:rsid w:val="00AD60BA"/>
    <w:rsid w:val="00AD6518"/>
    <w:rsid w:val="00AD6585"/>
    <w:rsid w:val="00AD6593"/>
    <w:rsid w:val="00AD6659"/>
    <w:rsid w:val="00AD6BB8"/>
    <w:rsid w:val="00AD6D34"/>
    <w:rsid w:val="00AD719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A9F"/>
    <w:rsid w:val="00AE3B24"/>
    <w:rsid w:val="00AE4078"/>
    <w:rsid w:val="00AE4231"/>
    <w:rsid w:val="00AE4706"/>
    <w:rsid w:val="00AE49A6"/>
    <w:rsid w:val="00AE4A82"/>
    <w:rsid w:val="00AE4CCD"/>
    <w:rsid w:val="00AE567E"/>
    <w:rsid w:val="00AE57A3"/>
    <w:rsid w:val="00AE5D8D"/>
    <w:rsid w:val="00AE60E4"/>
    <w:rsid w:val="00AE60E6"/>
    <w:rsid w:val="00AE62CF"/>
    <w:rsid w:val="00AE63A2"/>
    <w:rsid w:val="00AE6831"/>
    <w:rsid w:val="00AE69C2"/>
    <w:rsid w:val="00AE6A32"/>
    <w:rsid w:val="00AE6B3E"/>
    <w:rsid w:val="00AE707A"/>
    <w:rsid w:val="00AE710F"/>
    <w:rsid w:val="00AE7305"/>
    <w:rsid w:val="00AE74CA"/>
    <w:rsid w:val="00AE7791"/>
    <w:rsid w:val="00AE794E"/>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A6"/>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52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371"/>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3044"/>
    <w:rsid w:val="00B33088"/>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695"/>
    <w:rsid w:val="00B4181F"/>
    <w:rsid w:val="00B41C61"/>
    <w:rsid w:val="00B4220F"/>
    <w:rsid w:val="00B42FE2"/>
    <w:rsid w:val="00B430B3"/>
    <w:rsid w:val="00B432BD"/>
    <w:rsid w:val="00B43315"/>
    <w:rsid w:val="00B43453"/>
    <w:rsid w:val="00B434C0"/>
    <w:rsid w:val="00B4353B"/>
    <w:rsid w:val="00B438DE"/>
    <w:rsid w:val="00B43B86"/>
    <w:rsid w:val="00B43BBF"/>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C5B"/>
    <w:rsid w:val="00B54DDC"/>
    <w:rsid w:val="00B54F05"/>
    <w:rsid w:val="00B5552C"/>
    <w:rsid w:val="00B55A72"/>
    <w:rsid w:val="00B55FBC"/>
    <w:rsid w:val="00B56746"/>
    <w:rsid w:val="00B56B15"/>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3C77"/>
    <w:rsid w:val="00B64567"/>
    <w:rsid w:val="00B64945"/>
    <w:rsid w:val="00B64EB3"/>
    <w:rsid w:val="00B65043"/>
    <w:rsid w:val="00B65151"/>
    <w:rsid w:val="00B653D1"/>
    <w:rsid w:val="00B65514"/>
    <w:rsid w:val="00B658AD"/>
    <w:rsid w:val="00B65969"/>
    <w:rsid w:val="00B659AC"/>
    <w:rsid w:val="00B65CB4"/>
    <w:rsid w:val="00B66C2A"/>
    <w:rsid w:val="00B66EB6"/>
    <w:rsid w:val="00B67973"/>
    <w:rsid w:val="00B67E14"/>
    <w:rsid w:val="00B7011F"/>
    <w:rsid w:val="00B70262"/>
    <w:rsid w:val="00B70469"/>
    <w:rsid w:val="00B7046E"/>
    <w:rsid w:val="00B70478"/>
    <w:rsid w:val="00B70495"/>
    <w:rsid w:val="00B7078F"/>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034"/>
    <w:rsid w:val="00B731F1"/>
    <w:rsid w:val="00B73364"/>
    <w:rsid w:val="00B73602"/>
    <w:rsid w:val="00B7389E"/>
    <w:rsid w:val="00B741B7"/>
    <w:rsid w:val="00B74248"/>
    <w:rsid w:val="00B742D3"/>
    <w:rsid w:val="00B74A36"/>
    <w:rsid w:val="00B74D59"/>
    <w:rsid w:val="00B74F68"/>
    <w:rsid w:val="00B75102"/>
    <w:rsid w:val="00B75193"/>
    <w:rsid w:val="00B759CA"/>
    <w:rsid w:val="00B75B96"/>
    <w:rsid w:val="00B75EE5"/>
    <w:rsid w:val="00B75F32"/>
    <w:rsid w:val="00B76101"/>
    <w:rsid w:val="00B76266"/>
    <w:rsid w:val="00B763EE"/>
    <w:rsid w:val="00B7664E"/>
    <w:rsid w:val="00B76A00"/>
    <w:rsid w:val="00B773D6"/>
    <w:rsid w:val="00B775C8"/>
    <w:rsid w:val="00B779A8"/>
    <w:rsid w:val="00B77C9A"/>
    <w:rsid w:val="00B77D0F"/>
    <w:rsid w:val="00B802FF"/>
    <w:rsid w:val="00B803C8"/>
    <w:rsid w:val="00B8062F"/>
    <w:rsid w:val="00B807BD"/>
    <w:rsid w:val="00B80E21"/>
    <w:rsid w:val="00B810B3"/>
    <w:rsid w:val="00B81130"/>
    <w:rsid w:val="00B8210C"/>
    <w:rsid w:val="00B82178"/>
    <w:rsid w:val="00B8238D"/>
    <w:rsid w:val="00B8250E"/>
    <w:rsid w:val="00B8254C"/>
    <w:rsid w:val="00B826A9"/>
    <w:rsid w:val="00B82817"/>
    <w:rsid w:val="00B82CF4"/>
    <w:rsid w:val="00B82F4E"/>
    <w:rsid w:val="00B82FE2"/>
    <w:rsid w:val="00B8306C"/>
    <w:rsid w:val="00B8309B"/>
    <w:rsid w:val="00B83182"/>
    <w:rsid w:val="00B8333B"/>
    <w:rsid w:val="00B83654"/>
    <w:rsid w:val="00B836B1"/>
    <w:rsid w:val="00B8386A"/>
    <w:rsid w:val="00B83C3C"/>
    <w:rsid w:val="00B83CFD"/>
    <w:rsid w:val="00B84343"/>
    <w:rsid w:val="00B84449"/>
    <w:rsid w:val="00B84469"/>
    <w:rsid w:val="00B84570"/>
    <w:rsid w:val="00B847A9"/>
    <w:rsid w:val="00B84839"/>
    <w:rsid w:val="00B84B40"/>
    <w:rsid w:val="00B84DB8"/>
    <w:rsid w:val="00B858C1"/>
    <w:rsid w:val="00B8694B"/>
    <w:rsid w:val="00B86DA2"/>
    <w:rsid w:val="00B86E07"/>
    <w:rsid w:val="00B86E6F"/>
    <w:rsid w:val="00B87270"/>
    <w:rsid w:val="00B8758A"/>
    <w:rsid w:val="00B903D6"/>
    <w:rsid w:val="00B903EC"/>
    <w:rsid w:val="00B907D7"/>
    <w:rsid w:val="00B90974"/>
    <w:rsid w:val="00B909F1"/>
    <w:rsid w:val="00B90D7F"/>
    <w:rsid w:val="00B9136A"/>
    <w:rsid w:val="00B91400"/>
    <w:rsid w:val="00B91472"/>
    <w:rsid w:val="00B91844"/>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DC1"/>
    <w:rsid w:val="00BA4EED"/>
    <w:rsid w:val="00BA5099"/>
    <w:rsid w:val="00BA515E"/>
    <w:rsid w:val="00BA5842"/>
    <w:rsid w:val="00BA5905"/>
    <w:rsid w:val="00BA59BB"/>
    <w:rsid w:val="00BA59DE"/>
    <w:rsid w:val="00BA5CA9"/>
    <w:rsid w:val="00BA5F12"/>
    <w:rsid w:val="00BA60CD"/>
    <w:rsid w:val="00BA62B9"/>
    <w:rsid w:val="00BA6919"/>
    <w:rsid w:val="00BA720C"/>
    <w:rsid w:val="00BA7423"/>
    <w:rsid w:val="00BA77AF"/>
    <w:rsid w:val="00BA79D3"/>
    <w:rsid w:val="00BA7A73"/>
    <w:rsid w:val="00BA7CAC"/>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5AA9"/>
    <w:rsid w:val="00BC5AAA"/>
    <w:rsid w:val="00BC5D7A"/>
    <w:rsid w:val="00BC6004"/>
    <w:rsid w:val="00BC607D"/>
    <w:rsid w:val="00BC60D0"/>
    <w:rsid w:val="00BC632A"/>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24E5"/>
    <w:rsid w:val="00BE26C1"/>
    <w:rsid w:val="00BE2911"/>
    <w:rsid w:val="00BE2BD0"/>
    <w:rsid w:val="00BE30BC"/>
    <w:rsid w:val="00BE33D4"/>
    <w:rsid w:val="00BE37A8"/>
    <w:rsid w:val="00BE37D5"/>
    <w:rsid w:val="00BE3D7A"/>
    <w:rsid w:val="00BE4105"/>
    <w:rsid w:val="00BE45C2"/>
    <w:rsid w:val="00BE46A1"/>
    <w:rsid w:val="00BE48EC"/>
    <w:rsid w:val="00BE4B57"/>
    <w:rsid w:val="00BE534A"/>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2B7"/>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56A"/>
    <w:rsid w:val="00C069EB"/>
    <w:rsid w:val="00C06D3C"/>
    <w:rsid w:val="00C06D78"/>
    <w:rsid w:val="00C072B6"/>
    <w:rsid w:val="00C07314"/>
    <w:rsid w:val="00C0755A"/>
    <w:rsid w:val="00C07663"/>
    <w:rsid w:val="00C0768F"/>
    <w:rsid w:val="00C0774C"/>
    <w:rsid w:val="00C07790"/>
    <w:rsid w:val="00C07F54"/>
    <w:rsid w:val="00C10269"/>
    <w:rsid w:val="00C105A2"/>
    <w:rsid w:val="00C1064F"/>
    <w:rsid w:val="00C106BD"/>
    <w:rsid w:val="00C1074F"/>
    <w:rsid w:val="00C108ED"/>
    <w:rsid w:val="00C10989"/>
    <w:rsid w:val="00C10B69"/>
    <w:rsid w:val="00C10C2C"/>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602"/>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7CF"/>
    <w:rsid w:val="00C31873"/>
    <w:rsid w:val="00C319A5"/>
    <w:rsid w:val="00C31CAA"/>
    <w:rsid w:val="00C321A7"/>
    <w:rsid w:val="00C32445"/>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A11"/>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5E1"/>
    <w:rsid w:val="00C54699"/>
    <w:rsid w:val="00C54B10"/>
    <w:rsid w:val="00C54B22"/>
    <w:rsid w:val="00C54F94"/>
    <w:rsid w:val="00C54FAA"/>
    <w:rsid w:val="00C55B0E"/>
    <w:rsid w:val="00C55F69"/>
    <w:rsid w:val="00C56230"/>
    <w:rsid w:val="00C563D3"/>
    <w:rsid w:val="00C563DE"/>
    <w:rsid w:val="00C56494"/>
    <w:rsid w:val="00C5669E"/>
    <w:rsid w:val="00C56828"/>
    <w:rsid w:val="00C56A13"/>
    <w:rsid w:val="00C56A43"/>
    <w:rsid w:val="00C56CD9"/>
    <w:rsid w:val="00C56E65"/>
    <w:rsid w:val="00C56E8A"/>
    <w:rsid w:val="00C5724E"/>
    <w:rsid w:val="00C5729A"/>
    <w:rsid w:val="00C573A1"/>
    <w:rsid w:val="00C5752F"/>
    <w:rsid w:val="00C576B0"/>
    <w:rsid w:val="00C57969"/>
    <w:rsid w:val="00C57BE2"/>
    <w:rsid w:val="00C57CDE"/>
    <w:rsid w:val="00C57F4C"/>
    <w:rsid w:val="00C600BE"/>
    <w:rsid w:val="00C60AE2"/>
    <w:rsid w:val="00C616C9"/>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2D74"/>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97F"/>
    <w:rsid w:val="00CA1DB7"/>
    <w:rsid w:val="00CA1F38"/>
    <w:rsid w:val="00CA2071"/>
    <w:rsid w:val="00CA232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1F0"/>
    <w:rsid w:val="00CA72A5"/>
    <w:rsid w:val="00CA7378"/>
    <w:rsid w:val="00CA7693"/>
    <w:rsid w:val="00CA7710"/>
    <w:rsid w:val="00CA7A0E"/>
    <w:rsid w:val="00CA7A23"/>
    <w:rsid w:val="00CA7BA1"/>
    <w:rsid w:val="00CB0198"/>
    <w:rsid w:val="00CB0596"/>
    <w:rsid w:val="00CB12D4"/>
    <w:rsid w:val="00CB17AC"/>
    <w:rsid w:val="00CB18B1"/>
    <w:rsid w:val="00CB1B46"/>
    <w:rsid w:val="00CB1CF3"/>
    <w:rsid w:val="00CB25C3"/>
    <w:rsid w:val="00CB320A"/>
    <w:rsid w:val="00CB321E"/>
    <w:rsid w:val="00CB3470"/>
    <w:rsid w:val="00CB3976"/>
    <w:rsid w:val="00CB3F54"/>
    <w:rsid w:val="00CB403A"/>
    <w:rsid w:val="00CB449A"/>
    <w:rsid w:val="00CB4C84"/>
    <w:rsid w:val="00CB4D50"/>
    <w:rsid w:val="00CB5193"/>
    <w:rsid w:val="00CB577F"/>
    <w:rsid w:val="00CB5860"/>
    <w:rsid w:val="00CB5E27"/>
    <w:rsid w:val="00CB6563"/>
    <w:rsid w:val="00CB6C7D"/>
    <w:rsid w:val="00CB708B"/>
    <w:rsid w:val="00CB7107"/>
    <w:rsid w:val="00CB72D4"/>
    <w:rsid w:val="00CB73FD"/>
    <w:rsid w:val="00CB7500"/>
    <w:rsid w:val="00CB758F"/>
    <w:rsid w:val="00CB761E"/>
    <w:rsid w:val="00CB7874"/>
    <w:rsid w:val="00CB7A58"/>
    <w:rsid w:val="00CB7AE6"/>
    <w:rsid w:val="00CB7DDC"/>
    <w:rsid w:val="00CB7E20"/>
    <w:rsid w:val="00CB7F5B"/>
    <w:rsid w:val="00CC0099"/>
    <w:rsid w:val="00CC01CA"/>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007"/>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83A"/>
    <w:rsid w:val="00CD4CBF"/>
    <w:rsid w:val="00CD503E"/>
    <w:rsid w:val="00CD524C"/>
    <w:rsid w:val="00CD5553"/>
    <w:rsid w:val="00CD5B00"/>
    <w:rsid w:val="00CD604D"/>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423"/>
    <w:rsid w:val="00CE1616"/>
    <w:rsid w:val="00CE1681"/>
    <w:rsid w:val="00CE16AC"/>
    <w:rsid w:val="00CE1C8F"/>
    <w:rsid w:val="00CE1E14"/>
    <w:rsid w:val="00CE1E51"/>
    <w:rsid w:val="00CE20BE"/>
    <w:rsid w:val="00CE26CB"/>
    <w:rsid w:val="00CE2807"/>
    <w:rsid w:val="00CE2B29"/>
    <w:rsid w:val="00CE3165"/>
    <w:rsid w:val="00CE39A3"/>
    <w:rsid w:val="00CE3DA2"/>
    <w:rsid w:val="00CE403E"/>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88C"/>
    <w:rsid w:val="00CE791A"/>
    <w:rsid w:val="00CE7BA6"/>
    <w:rsid w:val="00CE7F3A"/>
    <w:rsid w:val="00CF02D2"/>
    <w:rsid w:val="00CF03F9"/>
    <w:rsid w:val="00CF05B0"/>
    <w:rsid w:val="00CF082A"/>
    <w:rsid w:val="00CF08A7"/>
    <w:rsid w:val="00CF0BC7"/>
    <w:rsid w:val="00CF0F44"/>
    <w:rsid w:val="00CF1003"/>
    <w:rsid w:val="00CF1CB9"/>
    <w:rsid w:val="00CF1F44"/>
    <w:rsid w:val="00CF22EA"/>
    <w:rsid w:val="00CF23A7"/>
    <w:rsid w:val="00CF266E"/>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4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C8E"/>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6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BBB"/>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00D"/>
    <w:rsid w:val="00D402D8"/>
    <w:rsid w:val="00D40434"/>
    <w:rsid w:val="00D407DA"/>
    <w:rsid w:val="00D40844"/>
    <w:rsid w:val="00D408D5"/>
    <w:rsid w:val="00D40AF4"/>
    <w:rsid w:val="00D40B5D"/>
    <w:rsid w:val="00D40E23"/>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AAC"/>
    <w:rsid w:val="00D50CCB"/>
    <w:rsid w:val="00D50DAA"/>
    <w:rsid w:val="00D50DDA"/>
    <w:rsid w:val="00D51108"/>
    <w:rsid w:val="00D51E90"/>
    <w:rsid w:val="00D52439"/>
    <w:rsid w:val="00D52853"/>
    <w:rsid w:val="00D52854"/>
    <w:rsid w:val="00D528F6"/>
    <w:rsid w:val="00D52AA3"/>
    <w:rsid w:val="00D52BBE"/>
    <w:rsid w:val="00D53417"/>
    <w:rsid w:val="00D535EC"/>
    <w:rsid w:val="00D5364A"/>
    <w:rsid w:val="00D537D5"/>
    <w:rsid w:val="00D5381B"/>
    <w:rsid w:val="00D538C3"/>
    <w:rsid w:val="00D5393F"/>
    <w:rsid w:val="00D53989"/>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6C1"/>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5D32"/>
    <w:rsid w:val="00D65DD2"/>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13"/>
    <w:rsid w:val="00D83AEE"/>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ECA"/>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582"/>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6F8"/>
    <w:rsid w:val="00DA79F7"/>
    <w:rsid w:val="00DA7D14"/>
    <w:rsid w:val="00DB02E2"/>
    <w:rsid w:val="00DB07D0"/>
    <w:rsid w:val="00DB0867"/>
    <w:rsid w:val="00DB0A8D"/>
    <w:rsid w:val="00DB0B33"/>
    <w:rsid w:val="00DB0B4F"/>
    <w:rsid w:val="00DB0CC0"/>
    <w:rsid w:val="00DB0DB8"/>
    <w:rsid w:val="00DB0DC8"/>
    <w:rsid w:val="00DB0E9F"/>
    <w:rsid w:val="00DB0F2B"/>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1E5"/>
    <w:rsid w:val="00DB421F"/>
    <w:rsid w:val="00DB447F"/>
    <w:rsid w:val="00DB51CA"/>
    <w:rsid w:val="00DB526A"/>
    <w:rsid w:val="00DB5E24"/>
    <w:rsid w:val="00DB615D"/>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171"/>
    <w:rsid w:val="00DC227D"/>
    <w:rsid w:val="00DC276B"/>
    <w:rsid w:val="00DC27BC"/>
    <w:rsid w:val="00DC2816"/>
    <w:rsid w:val="00DC294D"/>
    <w:rsid w:val="00DC2A18"/>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A2F"/>
    <w:rsid w:val="00DD2511"/>
    <w:rsid w:val="00DD262C"/>
    <w:rsid w:val="00DD2E7C"/>
    <w:rsid w:val="00DD3423"/>
    <w:rsid w:val="00DD3803"/>
    <w:rsid w:val="00DD3B1A"/>
    <w:rsid w:val="00DD3B5B"/>
    <w:rsid w:val="00DD3B93"/>
    <w:rsid w:val="00DD3BDA"/>
    <w:rsid w:val="00DD3EE6"/>
    <w:rsid w:val="00DD489F"/>
    <w:rsid w:val="00DD4B70"/>
    <w:rsid w:val="00DD4C8A"/>
    <w:rsid w:val="00DD4E57"/>
    <w:rsid w:val="00DD528D"/>
    <w:rsid w:val="00DD52E0"/>
    <w:rsid w:val="00DD56B2"/>
    <w:rsid w:val="00DD5EDC"/>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0FA1"/>
    <w:rsid w:val="00DE144B"/>
    <w:rsid w:val="00DE14A6"/>
    <w:rsid w:val="00DE1776"/>
    <w:rsid w:val="00DE1C8F"/>
    <w:rsid w:val="00DE2183"/>
    <w:rsid w:val="00DE21D6"/>
    <w:rsid w:val="00DE2241"/>
    <w:rsid w:val="00DE239B"/>
    <w:rsid w:val="00DE24BC"/>
    <w:rsid w:val="00DE2709"/>
    <w:rsid w:val="00DE27FE"/>
    <w:rsid w:val="00DE2A2E"/>
    <w:rsid w:val="00DE2BC8"/>
    <w:rsid w:val="00DE2D02"/>
    <w:rsid w:val="00DE2DD0"/>
    <w:rsid w:val="00DE32AE"/>
    <w:rsid w:val="00DE3862"/>
    <w:rsid w:val="00DE39D5"/>
    <w:rsid w:val="00DE3A14"/>
    <w:rsid w:val="00DE3C38"/>
    <w:rsid w:val="00DE3EA1"/>
    <w:rsid w:val="00DE3FCC"/>
    <w:rsid w:val="00DE4276"/>
    <w:rsid w:val="00DE434D"/>
    <w:rsid w:val="00DE46BE"/>
    <w:rsid w:val="00DE495C"/>
    <w:rsid w:val="00DE4BF9"/>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1FBA"/>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3E0"/>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ED"/>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7930"/>
    <w:rsid w:val="00E07A26"/>
    <w:rsid w:val="00E07EA4"/>
    <w:rsid w:val="00E104D7"/>
    <w:rsid w:val="00E10B91"/>
    <w:rsid w:val="00E10CCC"/>
    <w:rsid w:val="00E1142A"/>
    <w:rsid w:val="00E115CC"/>
    <w:rsid w:val="00E11F20"/>
    <w:rsid w:val="00E122C6"/>
    <w:rsid w:val="00E123C9"/>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60E"/>
    <w:rsid w:val="00E16817"/>
    <w:rsid w:val="00E16899"/>
    <w:rsid w:val="00E16DD1"/>
    <w:rsid w:val="00E17A63"/>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C4D"/>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BE1"/>
    <w:rsid w:val="00E41C27"/>
    <w:rsid w:val="00E41EA7"/>
    <w:rsid w:val="00E41FC9"/>
    <w:rsid w:val="00E427F3"/>
    <w:rsid w:val="00E42894"/>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9B4"/>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575"/>
    <w:rsid w:val="00E5670A"/>
    <w:rsid w:val="00E57584"/>
    <w:rsid w:val="00E57EEB"/>
    <w:rsid w:val="00E60201"/>
    <w:rsid w:val="00E605AF"/>
    <w:rsid w:val="00E609F8"/>
    <w:rsid w:val="00E60AD4"/>
    <w:rsid w:val="00E60D2C"/>
    <w:rsid w:val="00E60D75"/>
    <w:rsid w:val="00E60E5F"/>
    <w:rsid w:val="00E611B2"/>
    <w:rsid w:val="00E612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98"/>
    <w:rsid w:val="00E65BA7"/>
    <w:rsid w:val="00E65BEA"/>
    <w:rsid w:val="00E65FE0"/>
    <w:rsid w:val="00E66117"/>
    <w:rsid w:val="00E6655C"/>
    <w:rsid w:val="00E66DFF"/>
    <w:rsid w:val="00E6707B"/>
    <w:rsid w:val="00E67179"/>
    <w:rsid w:val="00E67198"/>
    <w:rsid w:val="00E67552"/>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A5"/>
    <w:rsid w:val="00E82CDE"/>
    <w:rsid w:val="00E83543"/>
    <w:rsid w:val="00E83760"/>
    <w:rsid w:val="00E837A4"/>
    <w:rsid w:val="00E83B2A"/>
    <w:rsid w:val="00E83CDD"/>
    <w:rsid w:val="00E84058"/>
    <w:rsid w:val="00E843A5"/>
    <w:rsid w:val="00E84702"/>
    <w:rsid w:val="00E8479E"/>
    <w:rsid w:val="00E84AE5"/>
    <w:rsid w:val="00E84C4D"/>
    <w:rsid w:val="00E84F0E"/>
    <w:rsid w:val="00E85030"/>
    <w:rsid w:val="00E85304"/>
    <w:rsid w:val="00E85C6C"/>
    <w:rsid w:val="00E85D5C"/>
    <w:rsid w:val="00E85F18"/>
    <w:rsid w:val="00E8615D"/>
    <w:rsid w:val="00E864BD"/>
    <w:rsid w:val="00E86825"/>
    <w:rsid w:val="00E8684A"/>
    <w:rsid w:val="00E86AE5"/>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4D68"/>
    <w:rsid w:val="00E9515D"/>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A9"/>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49"/>
    <w:rsid w:val="00EA57AC"/>
    <w:rsid w:val="00EA5A77"/>
    <w:rsid w:val="00EA6404"/>
    <w:rsid w:val="00EA6874"/>
    <w:rsid w:val="00EA6A84"/>
    <w:rsid w:val="00EA6ED0"/>
    <w:rsid w:val="00EA6F2A"/>
    <w:rsid w:val="00EA7A85"/>
    <w:rsid w:val="00EA7EB6"/>
    <w:rsid w:val="00EA7EC4"/>
    <w:rsid w:val="00EB0214"/>
    <w:rsid w:val="00EB02DC"/>
    <w:rsid w:val="00EB032C"/>
    <w:rsid w:val="00EB067F"/>
    <w:rsid w:val="00EB0AA5"/>
    <w:rsid w:val="00EB0F55"/>
    <w:rsid w:val="00EB122C"/>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3A0"/>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871"/>
    <w:rsid w:val="00EC2A59"/>
    <w:rsid w:val="00EC2DA1"/>
    <w:rsid w:val="00EC346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306"/>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5E03"/>
    <w:rsid w:val="00ED62E5"/>
    <w:rsid w:val="00ED64CA"/>
    <w:rsid w:val="00ED6579"/>
    <w:rsid w:val="00ED666D"/>
    <w:rsid w:val="00ED69FF"/>
    <w:rsid w:val="00ED6A83"/>
    <w:rsid w:val="00ED6BD5"/>
    <w:rsid w:val="00ED70E6"/>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63E"/>
    <w:rsid w:val="00EE2A20"/>
    <w:rsid w:val="00EE3623"/>
    <w:rsid w:val="00EE38B7"/>
    <w:rsid w:val="00EE3B58"/>
    <w:rsid w:val="00EE3D5A"/>
    <w:rsid w:val="00EE40CD"/>
    <w:rsid w:val="00EE4275"/>
    <w:rsid w:val="00EE4454"/>
    <w:rsid w:val="00EE44CF"/>
    <w:rsid w:val="00EE4658"/>
    <w:rsid w:val="00EE4A18"/>
    <w:rsid w:val="00EE4AC4"/>
    <w:rsid w:val="00EE53F0"/>
    <w:rsid w:val="00EE5526"/>
    <w:rsid w:val="00EE5C7E"/>
    <w:rsid w:val="00EE5D13"/>
    <w:rsid w:val="00EE5F18"/>
    <w:rsid w:val="00EE64DE"/>
    <w:rsid w:val="00EE669D"/>
    <w:rsid w:val="00EE66A9"/>
    <w:rsid w:val="00EE75CE"/>
    <w:rsid w:val="00EE78A0"/>
    <w:rsid w:val="00EE7F6D"/>
    <w:rsid w:val="00EF0102"/>
    <w:rsid w:val="00EF017D"/>
    <w:rsid w:val="00EF04CF"/>
    <w:rsid w:val="00EF072B"/>
    <w:rsid w:val="00EF08B4"/>
    <w:rsid w:val="00EF0CD3"/>
    <w:rsid w:val="00EF0D41"/>
    <w:rsid w:val="00EF0EF9"/>
    <w:rsid w:val="00EF1119"/>
    <w:rsid w:val="00EF1171"/>
    <w:rsid w:val="00EF17CF"/>
    <w:rsid w:val="00EF1D2E"/>
    <w:rsid w:val="00EF1D40"/>
    <w:rsid w:val="00EF1DC3"/>
    <w:rsid w:val="00EF22A2"/>
    <w:rsid w:val="00EF22D9"/>
    <w:rsid w:val="00EF2FD9"/>
    <w:rsid w:val="00EF38CF"/>
    <w:rsid w:val="00EF3C29"/>
    <w:rsid w:val="00EF3CB4"/>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A9A"/>
    <w:rsid w:val="00F00C3D"/>
    <w:rsid w:val="00F00CBE"/>
    <w:rsid w:val="00F00F72"/>
    <w:rsid w:val="00F01036"/>
    <w:rsid w:val="00F01080"/>
    <w:rsid w:val="00F01124"/>
    <w:rsid w:val="00F0138E"/>
    <w:rsid w:val="00F01853"/>
    <w:rsid w:val="00F01864"/>
    <w:rsid w:val="00F01A24"/>
    <w:rsid w:val="00F01CB6"/>
    <w:rsid w:val="00F01D60"/>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524F"/>
    <w:rsid w:val="00F054ED"/>
    <w:rsid w:val="00F055D2"/>
    <w:rsid w:val="00F058AE"/>
    <w:rsid w:val="00F05A04"/>
    <w:rsid w:val="00F0617F"/>
    <w:rsid w:val="00F064AA"/>
    <w:rsid w:val="00F06747"/>
    <w:rsid w:val="00F06EE8"/>
    <w:rsid w:val="00F073FA"/>
    <w:rsid w:val="00F0762C"/>
    <w:rsid w:val="00F07EB1"/>
    <w:rsid w:val="00F07EED"/>
    <w:rsid w:val="00F10070"/>
    <w:rsid w:val="00F102A5"/>
    <w:rsid w:val="00F10EBF"/>
    <w:rsid w:val="00F10FE8"/>
    <w:rsid w:val="00F11254"/>
    <w:rsid w:val="00F11434"/>
    <w:rsid w:val="00F117B6"/>
    <w:rsid w:val="00F1193F"/>
    <w:rsid w:val="00F11BB0"/>
    <w:rsid w:val="00F11BD5"/>
    <w:rsid w:val="00F1233C"/>
    <w:rsid w:val="00F126A1"/>
    <w:rsid w:val="00F12884"/>
    <w:rsid w:val="00F12ACC"/>
    <w:rsid w:val="00F12AF3"/>
    <w:rsid w:val="00F12DB6"/>
    <w:rsid w:val="00F130CC"/>
    <w:rsid w:val="00F1326F"/>
    <w:rsid w:val="00F1343D"/>
    <w:rsid w:val="00F1381C"/>
    <w:rsid w:val="00F1398B"/>
    <w:rsid w:val="00F13B6A"/>
    <w:rsid w:val="00F13CF1"/>
    <w:rsid w:val="00F1414E"/>
    <w:rsid w:val="00F1415F"/>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07"/>
    <w:rsid w:val="00F169B6"/>
    <w:rsid w:val="00F16BB3"/>
    <w:rsid w:val="00F16ED2"/>
    <w:rsid w:val="00F171CD"/>
    <w:rsid w:val="00F17344"/>
    <w:rsid w:val="00F17925"/>
    <w:rsid w:val="00F17EF4"/>
    <w:rsid w:val="00F20143"/>
    <w:rsid w:val="00F203CC"/>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2B9"/>
    <w:rsid w:val="00F25455"/>
    <w:rsid w:val="00F25630"/>
    <w:rsid w:val="00F256E8"/>
    <w:rsid w:val="00F25859"/>
    <w:rsid w:val="00F25A8A"/>
    <w:rsid w:val="00F25E39"/>
    <w:rsid w:val="00F26057"/>
    <w:rsid w:val="00F26517"/>
    <w:rsid w:val="00F26647"/>
    <w:rsid w:val="00F26B79"/>
    <w:rsid w:val="00F26DBE"/>
    <w:rsid w:val="00F2708E"/>
    <w:rsid w:val="00F27090"/>
    <w:rsid w:val="00F275BF"/>
    <w:rsid w:val="00F301B0"/>
    <w:rsid w:val="00F3049F"/>
    <w:rsid w:val="00F30BF4"/>
    <w:rsid w:val="00F30E9D"/>
    <w:rsid w:val="00F30F0E"/>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91F"/>
    <w:rsid w:val="00F34B79"/>
    <w:rsid w:val="00F34C52"/>
    <w:rsid w:val="00F34FBD"/>
    <w:rsid w:val="00F3538D"/>
    <w:rsid w:val="00F355A4"/>
    <w:rsid w:val="00F35AB3"/>
    <w:rsid w:val="00F35C57"/>
    <w:rsid w:val="00F35C9D"/>
    <w:rsid w:val="00F35DF1"/>
    <w:rsid w:val="00F35DF3"/>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69B"/>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15"/>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0CD"/>
    <w:rsid w:val="00F522C7"/>
    <w:rsid w:val="00F52491"/>
    <w:rsid w:val="00F5258F"/>
    <w:rsid w:val="00F52656"/>
    <w:rsid w:val="00F52673"/>
    <w:rsid w:val="00F527B9"/>
    <w:rsid w:val="00F528B4"/>
    <w:rsid w:val="00F52910"/>
    <w:rsid w:val="00F52AD7"/>
    <w:rsid w:val="00F52B53"/>
    <w:rsid w:val="00F52D69"/>
    <w:rsid w:val="00F52D93"/>
    <w:rsid w:val="00F53300"/>
    <w:rsid w:val="00F53B39"/>
    <w:rsid w:val="00F53F25"/>
    <w:rsid w:val="00F53F70"/>
    <w:rsid w:val="00F54143"/>
    <w:rsid w:val="00F54341"/>
    <w:rsid w:val="00F5450A"/>
    <w:rsid w:val="00F54588"/>
    <w:rsid w:val="00F54610"/>
    <w:rsid w:val="00F54C5C"/>
    <w:rsid w:val="00F54C5F"/>
    <w:rsid w:val="00F54E6F"/>
    <w:rsid w:val="00F55010"/>
    <w:rsid w:val="00F55389"/>
    <w:rsid w:val="00F555AD"/>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B27"/>
    <w:rsid w:val="00F66E8D"/>
    <w:rsid w:val="00F6713B"/>
    <w:rsid w:val="00F674DF"/>
    <w:rsid w:val="00F675B9"/>
    <w:rsid w:val="00F679E1"/>
    <w:rsid w:val="00F67D2E"/>
    <w:rsid w:val="00F67FCB"/>
    <w:rsid w:val="00F704AE"/>
    <w:rsid w:val="00F7063F"/>
    <w:rsid w:val="00F70908"/>
    <w:rsid w:val="00F709A3"/>
    <w:rsid w:val="00F70B37"/>
    <w:rsid w:val="00F71123"/>
    <w:rsid w:val="00F71199"/>
    <w:rsid w:val="00F71880"/>
    <w:rsid w:val="00F71D28"/>
    <w:rsid w:val="00F71FF6"/>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143"/>
    <w:rsid w:val="00F768E2"/>
    <w:rsid w:val="00F76FC9"/>
    <w:rsid w:val="00F7722F"/>
    <w:rsid w:val="00F772CB"/>
    <w:rsid w:val="00F77930"/>
    <w:rsid w:val="00F77A9A"/>
    <w:rsid w:val="00F77DFD"/>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BBB"/>
    <w:rsid w:val="00F87E32"/>
    <w:rsid w:val="00F903A2"/>
    <w:rsid w:val="00F90AA4"/>
    <w:rsid w:val="00F911DB"/>
    <w:rsid w:val="00F911DF"/>
    <w:rsid w:val="00F91309"/>
    <w:rsid w:val="00F913D3"/>
    <w:rsid w:val="00F91571"/>
    <w:rsid w:val="00F9157A"/>
    <w:rsid w:val="00F91EE9"/>
    <w:rsid w:val="00F91EFF"/>
    <w:rsid w:val="00F92257"/>
    <w:rsid w:val="00F9229D"/>
    <w:rsid w:val="00F922B3"/>
    <w:rsid w:val="00F922E7"/>
    <w:rsid w:val="00F92E84"/>
    <w:rsid w:val="00F92F27"/>
    <w:rsid w:val="00F92F38"/>
    <w:rsid w:val="00F930C5"/>
    <w:rsid w:val="00F93109"/>
    <w:rsid w:val="00F939DC"/>
    <w:rsid w:val="00F943A4"/>
    <w:rsid w:val="00F94425"/>
    <w:rsid w:val="00F9538E"/>
    <w:rsid w:val="00F95793"/>
    <w:rsid w:val="00F95A1C"/>
    <w:rsid w:val="00F95A25"/>
    <w:rsid w:val="00F95BC2"/>
    <w:rsid w:val="00F95C18"/>
    <w:rsid w:val="00F96628"/>
    <w:rsid w:val="00F96695"/>
    <w:rsid w:val="00F96A44"/>
    <w:rsid w:val="00F96BC4"/>
    <w:rsid w:val="00F96BD6"/>
    <w:rsid w:val="00F97194"/>
    <w:rsid w:val="00F97590"/>
    <w:rsid w:val="00F97CFA"/>
    <w:rsid w:val="00FA0226"/>
    <w:rsid w:val="00FA0610"/>
    <w:rsid w:val="00FA078A"/>
    <w:rsid w:val="00FA07DB"/>
    <w:rsid w:val="00FA09C6"/>
    <w:rsid w:val="00FA0B22"/>
    <w:rsid w:val="00FA1343"/>
    <w:rsid w:val="00FA13A2"/>
    <w:rsid w:val="00FA14C8"/>
    <w:rsid w:val="00FA1912"/>
    <w:rsid w:val="00FA19BA"/>
    <w:rsid w:val="00FA1A16"/>
    <w:rsid w:val="00FA1A23"/>
    <w:rsid w:val="00FA1E63"/>
    <w:rsid w:val="00FA1EED"/>
    <w:rsid w:val="00FA2035"/>
    <w:rsid w:val="00FA2653"/>
    <w:rsid w:val="00FA27CA"/>
    <w:rsid w:val="00FA2894"/>
    <w:rsid w:val="00FA2953"/>
    <w:rsid w:val="00FA2BB3"/>
    <w:rsid w:val="00FA313A"/>
    <w:rsid w:val="00FA35CC"/>
    <w:rsid w:val="00FA35F5"/>
    <w:rsid w:val="00FA36F9"/>
    <w:rsid w:val="00FA37EC"/>
    <w:rsid w:val="00FA3972"/>
    <w:rsid w:val="00FA3984"/>
    <w:rsid w:val="00FA3992"/>
    <w:rsid w:val="00FA3AC0"/>
    <w:rsid w:val="00FA3B32"/>
    <w:rsid w:val="00FA4E13"/>
    <w:rsid w:val="00FA4E85"/>
    <w:rsid w:val="00FA4EE6"/>
    <w:rsid w:val="00FA54AA"/>
    <w:rsid w:val="00FA5531"/>
    <w:rsid w:val="00FA59CA"/>
    <w:rsid w:val="00FA5A86"/>
    <w:rsid w:val="00FA6261"/>
    <w:rsid w:val="00FA64D3"/>
    <w:rsid w:val="00FA67CC"/>
    <w:rsid w:val="00FA69BF"/>
    <w:rsid w:val="00FA6E77"/>
    <w:rsid w:val="00FA6F0E"/>
    <w:rsid w:val="00FA6FAB"/>
    <w:rsid w:val="00FB0949"/>
    <w:rsid w:val="00FB0B36"/>
    <w:rsid w:val="00FB0F60"/>
    <w:rsid w:val="00FB0FB7"/>
    <w:rsid w:val="00FB1231"/>
    <w:rsid w:val="00FB14AB"/>
    <w:rsid w:val="00FB1B4C"/>
    <w:rsid w:val="00FB1C9F"/>
    <w:rsid w:val="00FB1D03"/>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B8"/>
    <w:rsid w:val="00FB59EA"/>
    <w:rsid w:val="00FB5E50"/>
    <w:rsid w:val="00FB6006"/>
    <w:rsid w:val="00FB6257"/>
    <w:rsid w:val="00FB64E7"/>
    <w:rsid w:val="00FB6E6B"/>
    <w:rsid w:val="00FB701C"/>
    <w:rsid w:val="00FB70A5"/>
    <w:rsid w:val="00FB749D"/>
    <w:rsid w:val="00FB77B4"/>
    <w:rsid w:val="00FB7E15"/>
    <w:rsid w:val="00FC0240"/>
    <w:rsid w:val="00FC0502"/>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1B7"/>
    <w:rsid w:val="00FD1442"/>
    <w:rsid w:val="00FD1457"/>
    <w:rsid w:val="00FD151A"/>
    <w:rsid w:val="00FD1DE8"/>
    <w:rsid w:val="00FD1F5D"/>
    <w:rsid w:val="00FD21B1"/>
    <w:rsid w:val="00FD2545"/>
    <w:rsid w:val="00FD27D2"/>
    <w:rsid w:val="00FD2BB0"/>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4E1F"/>
    <w:rsid w:val="00FD502B"/>
    <w:rsid w:val="00FD5215"/>
    <w:rsid w:val="00FD527F"/>
    <w:rsid w:val="00FD55FC"/>
    <w:rsid w:val="00FD5822"/>
    <w:rsid w:val="00FD582F"/>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459"/>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975"/>
    <w:rsid w:val="00FF0EB9"/>
    <w:rsid w:val="00FF1665"/>
    <w:rsid w:val="00FF17AC"/>
    <w:rsid w:val="00FF1ACD"/>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83D"/>
    <w:rsid w:val="00FF4974"/>
    <w:rsid w:val="00FF4C72"/>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 w:val="3BFE96FC"/>
    <w:rsid w:val="4DFDA688"/>
    <w:rsid w:val="5B1FEA89"/>
    <w:rsid w:val="6BE9F979"/>
    <w:rsid w:val="6C7B8ED5"/>
    <w:rsid w:val="797D04F2"/>
    <w:rsid w:val="7EDE9EE3"/>
    <w:rsid w:val="7FFFE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F31C92"/>
  <w15:docId w15:val="{E8A88D53-2A9F-4E9F-93E6-B7F6EF3FA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3C77"/>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0"/>
      <w:szCs w:val="20"/>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pPr>
      <w:jc w:val="left"/>
    </w:pPr>
  </w:style>
  <w:style w:type="paragraph" w:styleId="a8">
    <w:name w:val="Body Text"/>
    <w:basedOn w:val="a"/>
    <w:link w:val="a9"/>
    <w:unhideWhenUsed/>
    <w:pPr>
      <w:spacing w:line="240" w:lineRule="auto"/>
      <w:textAlignment w:val="auto"/>
    </w:pPr>
    <w:rPr>
      <w:rFonts w:ascii="Arial" w:hAnsi="Arial"/>
      <w:sz w:val="20"/>
    </w:rPr>
  </w:style>
  <w:style w:type="paragraph" w:styleId="21">
    <w:name w:val="List 2"/>
    <w:basedOn w:val="a"/>
    <w:uiPriority w:val="99"/>
    <w:semiHidden/>
    <w:unhideWhenUsed/>
    <w:pPr>
      <w:ind w:leftChars="200" w:left="100" w:hangingChars="200" w:hanging="200"/>
      <w:contextualSpacing/>
    </w:pPr>
  </w:style>
  <w:style w:type="paragraph" w:styleId="aa">
    <w:name w:val="Balloon Text"/>
    <w:basedOn w:val="a"/>
    <w:link w:val="ab"/>
    <w:uiPriority w:val="99"/>
    <w:semiHidden/>
    <w:unhideWhenUsed/>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Emphasis"/>
    <w:uiPriority w:val="20"/>
    <w:qFormat/>
    <w:rPr>
      <w:i/>
      <w:iCs/>
    </w:rPr>
  </w:style>
  <w:style w:type="character" w:styleId="af6">
    <w:name w:val="Hyperlink"/>
    <w:uiPriority w:val="99"/>
    <w:rPr>
      <w:color w:val="0000FF"/>
      <w:u w:val="single"/>
    </w:rPr>
  </w:style>
  <w:style w:type="character" w:styleId="af7">
    <w:name w:val="annotation reference"/>
    <w:uiPriority w:val="99"/>
    <w:semiHidden/>
    <w:unhideWhenUsed/>
    <w:qFormat/>
    <w:rPr>
      <w:sz w:val="21"/>
      <w:szCs w:val="21"/>
    </w:rPr>
  </w:style>
  <w:style w:type="character" w:customStyle="1" w:styleId="10">
    <w:name w:val="标题 1 字符"/>
    <w:link w:val="1"/>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rPr>
      <w:rFonts w:ascii="Arial" w:hAnsi="Arial"/>
      <w:sz w:val="22"/>
      <w:lang w:val="en-GB" w:eastAsia="zh-CN"/>
    </w:rPr>
  </w:style>
  <w:style w:type="character" w:customStyle="1" w:styleId="80">
    <w:name w:val="标题 8 字符"/>
    <w:link w:val="8"/>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rPr>
      <w:rFonts w:ascii="Times New Roman" w:hAnsi="Times New Roman"/>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af0"/>
    <w:qFormat/>
    <w:pPr>
      <w:numPr>
        <w:numId w:val="4"/>
      </w:numPr>
    </w:pPr>
    <w:rPr>
      <w:rFonts w:ascii="Times New Roman" w:eastAsia="MS Mincho" w:hAnsi="Times New Roman"/>
      <w:lang w:val="en-GB" w:eastAsia="en-US"/>
    </w:rPr>
  </w:style>
  <w:style w:type="paragraph" w:styleId="af8">
    <w:name w:val="List Paragraph"/>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pPr>
      <w:overflowPunct w:val="0"/>
      <w:autoSpaceDE w:val="0"/>
      <w:autoSpaceDN w:val="0"/>
      <w:adjustRightInd w:val="0"/>
      <w:textAlignment w:val="baseline"/>
    </w:pPr>
    <w:rPr>
      <w:rFonts w:eastAsia="Times New Roman"/>
      <w:lang w:eastAsia="ja-JP"/>
    </w:rPr>
  </w:style>
  <w:style w:type="character" w:customStyle="1" w:styleId="TFZchn">
    <w:name w:val="TF Zchn"/>
    <w:rPr>
      <w:rFonts w:ascii="Arial" w:hAnsi="Arial"/>
      <w:b/>
    </w:rPr>
  </w:style>
  <w:style w:type="character" w:customStyle="1" w:styleId="TAHChar">
    <w:name w:val="TAH Char"/>
    <w:qFormat/>
    <w:rPr>
      <w:rFonts w:ascii="Arial" w:hAnsi="Arial"/>
      <w:b/>
      <w:sz w:val="18"/>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a0"/>
    <w:qFormat/>
  </w:style>
  <w:style w:type="paragraph" w:customStyle="1" w:styleId="EQ">
    <w:name w:val="EQ"/>
    <w:basedOn w:val="a"/>
    <w:next w:val="a"/>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12">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154244">
      <w:bodyDiv w:val="1"/>
      <w:marLeft w:val="0"/>
      <w:marRight w:val="0"/>
      <w:marTop w:val="0"/>
      <w:marBottom w:val="0"/>
      <w:divBdr>
        <w:top w:val="none" w:sz="0" w:space="0" w:color="auto"/>
        <w:left w:val="none" w:sz="0" w:space="0" w:color="auto"/>
        <w:bottom w:val="none" w:sz="0" w:space="0" w:color="auto"/>
        <w:right w:val="none" w:sz="0" w:space="0" w:color="auto"/>
      </w:divBdr>
      <w:divsChild>
        <w:div w:id="11507539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11</Pages>
  <Words>4179</Words>
  <Characters>23824</Characters>
  <Application>Microsoft Office Word</Application>
  <DocSecurity>0</DocSecurity>
  <Lines>198</Lines>
  <Paragraphs>55</Paragraphs>
  <ScaleCrop>false</ScaleCrop>
  <Company/>
  <LinksUpToDate>false</LinksUpToDate>
  <CharactersWithSpaces>27948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熊艺</dc:creator>
  <cp:lastModifiedBy>Xiaomi-Yi</cp:lastModifiedBy>
  <cp:revision>34</cp:revision>
  <cp:lastPrinted>2018-04-05T01:40:00Z</cp:lastPrinted>
  <dcterms:created xsi:type="dcterms:W3CDTF">2025-03-26T09:11:00Z</dcterms:created>
  <dcterms:modified xsi:type="dcterms:W3CDTF">2025-03-28T07:27:00Z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y fmtid="{D5CDD505-2E9C-101B-9397-08002B2CF9AE}" pid="8" name="KSOProductBuildVer">
    <vt:lpwstr>2052-0.0.0.0</vt:lpwstr>
  </property>
</Properties>
</file>